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5D31F" w14:textId="79A4B943" w:rsidR="005B0860" w:rsidRPr="00B91CDC" w:rsidRDefault="00E61C1D" w:rsidP="00E61C1D">
      <w:pPr>
        <w:spacing w:after="0"/>
        <w:jc w:val="both"/>
        <w:rPr>
          <w:rFonts w:ascii="Times New Roman" w:hAnsi="Times New Roman" w:cs="Times New Roman"/>
          <w:b/>
          <w:bCs/>
          <w:sz w:val="28"/>
          <w:szCs w:val="28"/>
          <w:u w:val="single"/>
        </w:rPr>
      </w:pPr>
      <w:bookmarkStart w:id="0" w:name="_Hlk31021142"/>
      <w:r w:rsidRPr="00B91CDC">
        <w:rPr>
          <w:rFonts w:ascii="Times New Roman" w:hAnsi="Times New Roman" w:cs="Times New Roman"/>
          <w:b/>
          <w:bCs/>
          <w:noProof/>
          <w:sz w:val="28"/>
          <w:szCs w:val="28"/>
          <w:lang w:val="en-US"/>
        </w:rPr>
        <w:drawing>
          <wp:anchor distT="0" distB="0" distL="114300" distR="114300" simplePos="0" relativeHeight="251659264" behindDoc="0" locked="0" layoutInCell="1" allowOverlap="1" wp14:anchorId="3F6445B0" wp14:editId="5D311203">
            <wp:simplePos x="0" y="0"/>
            <wp:positionH relativeFrom="margin">
              <wp:align>center</wp:align>
            </wp:positionH>
            <wp:positionV relativeFrom="paragraph">
              <wp:posOffset>-190500</wp:posOffset>
            </wp:positionV>
            <wp:extent cx="1440611" cy="1440611"/>
            <wp:effectExtent l="0" t="0" r="7620" b="762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0611" cy="1440611"/>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4C03BE3E" w14:textId="77777777" w:rsidR="00F318E5" w:rsidRPr="00B91CDC" w:rsidRDefault="00F318E5" w:rsidP="00E61C1D">
      <w:pPr>
        <w:spacing w:after="0"/>
        <w:jc w:val="both"/>
        <w:rPr>
          <w:rFonts w:ascii="Times New Roman" w:hAnsi="Times New Roman" w:cs="Times New Roman"/>
          <w:b/>
          <w:bCs/>
          <w:sz w:val="28"/>
          <w:szCs w:val="28"/>
          <w:u w:val="single"/>
          <w:lang w:val="fr-FR"/>
        </w:rPr>
      </w:pPr>
      <w:bookmarkStart w:id="1" w:name="_Hlk53228265"/>
    </w:p>
    <w:p w14:paraId="71E1AA5D" w14:textId="77777777" w:rsidR="00F318E5" w:rsidRPr="00B91CDC" w:rsidRDefault="00F318E5" w:rsidP="00E61C1D">
      <w:pPr>
        <w:spacing w:after="0"/>
        <w:jc w:val="both"/>
        <w:rPr>
          <w:rFonts w:ascii="Times New Roman" w:hAnsi="Times New Roman" w:cs="Times New Roman"/>
          <w:b/>
          <w:bCs/>
          <w:sz w:val="28"/>
          <w:szCs w:val="28"/>
          <w:u w:val="single"/>
          <w:lang w:val="fr-FR"/>
        </w:rPr>
      </w:pPr>
    </w:p>
    <w:p w14:paraId="4F007ED4" w14:textId="77777777" w:rsidR="00F318E5" w:rsidRPr="00B91CDC" w:rsidRDefault="00F318E5" w:rsidP="00E61C1D">
      <w:pPr>
        <w:spacing w:after="0"/>
        <w:jc w:val="both"/>
        <w:rPr>
          <w:rFonts w:ascii="Times New Roman" w:hAnsi="Times New Roman" w:cs="Times New Roman"/>
          <w:b/>
          <w:bCs/>
          <w:sz w:val="28"/>
          <w:szCs w:val="28"/>
          <w:u w:val="single"/>
          <w:lang w:val="fr-FR"/>
        </w:rPr>
      </w:pPr>
    </w:p>
    <w:p w14:paraId="7E1CCBF3" w14:textId="77777777" w:rsidR="00E61C1D" w:rsidRPr="00B91CDC" w:rsidRDefault="00E61C1D" w:rsidP="00B24F02">
      <w:pPr>
        <w:spacing w:after="0"/>
        <w:rPr>
          <w:rFonts w:ascii="Times New Roman" w:hAnsi="Times New Roman" w:cs="Times New Roman"/>
          <w:b/>
          <w:bCs/>
          <w:sz w:val="28"/>
          <w:szCs w:val="28"/>
          <w:lang w:val="fr-FR"/>
        </w:rPr>
      </w:pPr>
    </w:p>
    <w:p w14:paraId="0B40DCEB" w14:textId="77777777" w:rsidR="00E61C1D" w:rsidRPr="00B91CDC" w:rsidRDefault="00E61C1D" w:rsidP="00E61C1D">
      <w:pPr>
        <w:spacing w:after="0"/>
        <w:jc w:val="center"/>
        <w:rPr>
          <w:rFonts w:ascii="Times New Roman" w:hAnsi="Times New Roman" w:cs="Times New Roman"/>
          <w:b/>
          <w:bCs/>
          <w:sz w:val="28"/>
          <w:szCs w:val="28"/>
          <w:lang w:val="fr-FR"/>
        </w:rPr>
      </w:pPr>
    </w:p>
    <w:p w14:paraId="28D8C6E5" w14:textId="31C91BEB" w:rsidR="00F318E5" w:rsidRPr="00B91CDC" w:rsidRDefault="00F318E5" w:rsidP="00E61C1D">
      <w:pPr>
        <w:spacing w:after="0"/>
        <w:jc w:val="center"/>
        <w:rPr>
          <w:rFonts w:ascii="Times New Roman" w:hAnsi="Times New Roman" w:cs="Times New Roman"/>
          <w:b/>
          <w:bCs/>
          <w:sz w:val="28"/>
          <w:szCs w:val="28"/>
          <w:lang w:val="fr-FR"/>
        </w:rPr>
      </w:pPr>
      <w:r w:rsidRPr="00B91CDC">
        <w:rPr>
          <w:rFonts w:ascii="Times New Roman" w:hAnsi="Times New Roman" w:cs="Times New Roman"/>
          <w:b/>
          <w:bCs/>
          <w:sz w:val="28"/>
          <w:szCs w:val="28"/>
          <w:lang w:val="fr-FR"/>
        </w:rPr>
        <w:t>NOTE CONCEPTUELLE</w:t>
      </w:r>
    </w:p>
    <w:p w14:paraId="4CD274AE" w14:textId="55028F5F" w:rsidR="00F318E5" w:rsidRPr="00B91CDC" w:rsidRDefault="00F318E5" w:rsidP="00E61C1D">
      <w:pPr>
        <w:spacing w:after="0"/>
        <w:jc w:val="center"/>
        <w:rPr>
          <w:rFonts w:ascii="Times New Roman" w:hAnsi="Times New Roman" w:cs="Times New Roman"/>
          <w:b/>
          <w:bCs/>
          <w:sz w:val="28"/>
          <w:szCs w:val="28"/>
          <w:lang w:val="fr-FR"/>
        </w:rPr>
      </w:pPr>
      <w:r w:rsidRPr="00B91CDC">
        <w:rPr>
          <w:rFonts w:ascii="Times New Roman" w:hAnsi="Times New Roman" w:cs="Times New Roman"/>
          <w:b/>
          <w:bCs/>
          <w:sz w:val="28"/>
          <w:szCs w:val="28"/>
          <w:lang w:val="fr-FR"/>
        </w:rPr>
        <w:t>SUR LE DEVELOPPEMENT DES BANQUES NATIONALES DE GENE</w:t>
      </w:r>
    </w:p>
    <w:p w14:paraId="228DE331" w14:textId="1F52F6CA" w:rsidR="00FF19ED" w:rsidRPr="00B91CDC" w:rsidRDefault="00F318E5" w:rsidP="00E61C1D">
      <w:pPr>
        <w:spacing w:after="0"/>
        <w:jc w:val="center"/>
        <w:rPr>
          <w:rFonts w:ascii="Times New Roman" w:hAnsi="Times New Roman" w:cs="Times New Roman"/>
          <w:b/>
          <w:bCs/>
          <w:sz w:val="28"/>
          <w:szCs w:val="28"/>
          <w:lang w:val="fr-FR"/>
        </w:rPr>
      </w:pPr>
      <w:r w:rsidRPr="00B91CDC">
        <w:rPr>
          <w:rFonts w:ascii="Times New Roman" w:hAnsi="Times New Roman" w:cs="Times New Roman"/>
          <w:b/>
          <w:bCs/>
          <w:sz w:val="28"/>
          <w:szCs w:val="28"/>
          <w:lang w:val="fr-FR"/>
        </w:rPr>
        <w:t>DANS LES ETATS MEMBRES DE L'OCI</w:t>
      </w:r>
    </w:p>
    <w:bookmarkEnd w:id="1"/>
    <w:p w14:paraId="3D495CF4" w14:textId="0AD1C311" w:rsidR="00482FB8" w:rsidRPr="00B91CDC" w:rsidRDefault="00482FB8" w:rsidP="00E61C1D">
      <w:pPr>
        <w:tabs>
          <w:tab w:val="left" w:pos="6223"/>
        </w:tabs>
        <w:spacing w:after="0"/>
        <w:jc w:val="both"/>
        <w:rPr>
          <w:rFonts w:ascii="Times New Roman" w:hAnsi="Times New Roman" w:cs="Times New Roman"/>
          <w:b/>
          <w:bCs/>
          <w:sz w:val="28"/>
          <w:szCs w:val="28"/>
          <w:u w:val="single"/>
          <w:lang w:val="fr-FR"/>
        </w:rPr>
      </w:pPr>
    </w:p>
    <w:p w14:paraId="32E79A7D" w14:textId="1A6B1B89" w:rsidR="00824B92" w:rsidRPr="00C517BE" w:rsidRDefault="00824B92" w:rsidP="00C517BE">
      <w:pPr>
        <w:spacing w:after="0"/>
        <w:jc w:val="both"/>
        <w:rPr>
          <w:rFonts w:ascii="Times New Roman" w:hAnsi="Times New Roman" w:cs="Times New Roman"/>
          <w:sz w:val="28"/>
          <w:szCs w:val="28"/>
          <w:lang w:val="fr-FR"/>
        </w:rPr>
      </w:pPr>
      <w:r w:rsidRPr="00C517BE">
        <w:rPr>
          <w:rFonts w:ascii="Times New Roman" w:hAnsi="Times New Roman" w:cs="Times New Roman"/>
          <w:b/>
          <w:bCs/>
          <w:sz w:val="28"/>
          <w:szCs w:val="28"/>
          <w:lang w:val="fr-FR"/>
        </w:rPr>
        <w:t xml:space="preserve">Introduction </w:t>
      </w:r>
      <w:r w:rsidR="00172E71" w:rsidRPr="00C517BE">
        <w:rPr>
          <w:rFonts w:ascii="Times New Roman" w:hAnsi="Times New Roman" w:cs="Times New Roman"/>
          <w:sz w:val="28"/>
          <w:szCs w:val="28"/>
          <w:lang w:val="fr-FR"/>
        </w:rPr>
        <w:tab/>
      </w:r>
      <w:r w:rsidR="00451BD4" w:rsidRPr="00C517BE">
        <w:rPr>
          <w:rFonts w:ascii="Times New Roman" w:hAnsi="Times New Roman" w:cs="Times New Roman"/>
          <w:sz w:val="28"/>
          <w:szCs w:val="28"/>
          <w:lang w:val="fr-FR"/>
        </w:rPr>
        <w:t xml:space="preserve"> </w:t>
      </w:r>
    </w:p>
    <w:p w14:paraId="62CB3F14" w14:textId="5267CEFB" w:rsidR="00451BD4" w:rsidRPr="00B91CDC" w:rsidRDefault="00007277" w:rsidP="00E61C1D">
      <w:pPr>
        <w:spacing w:after="0"/>
        <w:jc w:val="both"/>
        <w:rPr>
          <w:rFonts w:ascii="Times New Roman" w:hAnsi="Times New Roman" w:cs="Times New Roman"/>
          <w:sz w:val="28"/>
          <w:szCs w:val="28"/>
          <w:lang w:val="fr-FR"/>
        </w:rPr>
      </w:pPr>
      <w:bookmarkStart w:id="2" w:name="_Hlk53228306"/>
      <w:r w:rsidRPr="00B91CDC">
        <w:rPr>
          <w:rFonts w:ascii="Times New Roman" w:eastAsia="Times New Roman" w:hAnsi="Times New Roman" w:cs="Times New Roman"/>
          <w:color w:val="000000"/>
          <w:sz w:val="28"/>
          <w:szCs w:val="28"/>
          <w:lang w:val="fr-FR" w:eastAsia="ru-RU"/>
        </w:rPr>
        <w:t>La biodiversité agricole est toujours restée au premier rang des priorités des organisations internationales, compte tenu de sa pertinence pour le maintien de la vie humaine et des moyens de subsistance, en particulier parmi les pays en développement, et en effet les États membres de l'OCI, qui souffrent d'une insécurité alimentaire et nutritionnelle accrue, de la faim, de la malnutrition et sous-développement chronique. Il est largement reconnu qu'aucun pays ne peut soutenir un développement agricole avancé et compétitif basé uniquement sur les plantes locales</w:t>
      </w:r>
      <w:r w:rsidR="009E548F" w:rsidRPr="00B91CDC">
        <w:rPr>
          <w:rFonts w:ascii="Times New Roman" w:hAnsi="Times New Roman" w:cs="Times New Roman"/>
          <w:sz w:val="28"/>
          <w:szCs w:val="28"/>
          <w:lang w:val="fr-FR"/>
        </w:rPr>
        <w:t xml:space="preserve">. </w:t>
      </w:r>
      <w:bookmarkEnd w:id="2"/>
    </w:p>
    <w:p w14:paraId="737C4215" w14:textId="77777777" w:rsidR="00E61C1D" w:rsidRPr="00B91CDC" w:rsidRDefault="00E61C1D" w:rsidP="00E61C1D">
      <w:pPr>
        <w:spacing w:after="0"/>
        <w:jc w:val="both"/>
        <w:rPr>
          <w:rFonts w:ascii="Times New Roman" w:hAnsi="Times New Roman" w:cs="Times New Roman"/>
          <w:strike/>
          <w:sz w:val="28"/>
          <w:szCs w:val="28"/>
          <w:lang w:val="fr-FR"/>
        </w:rPr>
      </w:pPr>
    </w:p>
    <w:p w14:paraId="5650CC62" w14:textId="1633AF1E" w:rsidR="00D1009C" w:rsidRPr="00B91CDC" w:rsidRDefault="00F318E5" w:rsidP="00E61C1D">
      <w:pPr>
        <w:spacing w:after="0"/>
        <w:jc w:val="both"/>
        <w:rPr>
          <w:rFonts w:ascii="Times New Roman" w:hAnsi="Times New Roman" w:cs="Times New Roman"/>
          <w:sz w:val="28"/>
          <w:szCs w:val="28"/>
          <w:lang w:val="fr-FR"/>
        </w:rPr>
      </w:pPr>
      <w:bookmarkStart w:id="3" w:name="_Hlk53228334"/>
      <w:r w:rsidRPr="00B91CDC">
        <w:rPr>
          <w:rFonts w:ascii="Times New Roman" w:eastAsia="Times New Roman" w:hAnsi="Times New Roman" w:cs="Times New Roman"/>
          <w:color w:val="000000"/>
          <w:sz w:val="28"/>
          <w:szCs w:val="28"/>
          <w:lang w:val="fr-FR" w:eastAsia="ru-RU"/>
        </w:rPr>
        <w:t xml:space="preserve">2. </w:t>
      </w:r>
      <w:r w:rsidR="00492A93" w:rsidRPr="00B91CDC">
        <w:rPr>
          <w:rFonts w:ascii="Times New Roman" w:eastAsia="Times New Roman" w:hAnsi="Times New Roman" w:cs="Times New Roman"/>
          <w:color w:val="000000"/>
          <w:sz w:val="28"/>
          <w:szCs w:val="28"/>
          <w:lang w:val="fr-FR" w:eastAsia="ru-RU"/>
        </w:rPr>
        <w:t>L'importance de la mise en commun des ressources dans le domaine de la conservation, de l'utilisation durable et de l'échange des ressources génétiques végétales et animales pour l'alimentation et l'agriculture entre les États membres de l'OCI ne peut pas être surestimée. Cela prend en compte la relation organique entre la sécurité alimentaire durable et la biodiversité et les différents défis auxquels sont confrontés la plupart des États membres de l'OCI, allant du déficit alimentaire accru, du faible investissement dans l'agriculture, des crises économiques et politiques, des catastrophes naturelles et d'origine humaine, pauvres et délabrées infrastructures et méthodes de production agricole archaïques et inefficaces, entre autres</w:t>
      </w:r>
      <w:r w:rsidR="00D1009C" w:rsidRPr="00B91CDC">
        <w:rPr>
          <w:rFonts w:ascii="Times New Roman" w:hAnsi="Times New Roman" w:cs="Times New Roman"/>
          <w:sz w:val="28"/>
          <w:szCs w:val="28"/>
          <w:lang w:val="fr-FR"/>
        </w:rPr>
        <w:t>.</w:t>
      </w:r>
    </w:p>
    <w:p w14:paraId="57D1D243" w14:textId="77777777" w:rsidR="00E61C1D" w:rsidRPr="00B91CDC" w:rsidRDefault="00E61C1D" w:rsidP="00E61C1D">
      <w:pPr>
        <w:spacing w:after="0"/>
        <w:jc w:val="both"/>
        <w:rPr>
          <w:rFonts w:ascii="Times New Roman" w:hAnsi="Times New Roman" w:cs="Times New Roman"/>
          <w:sz w:val="28"/>
          <w:szCs w:val="28"/>
          <w:lang w:val="fr-FR"/>
        </w:rPr>
      </w:pPr>
    </w:p>
    <w:p w14:paraId="0434DB90" w14:textId="54DEF95A" w:rsidR="00D965EE" w:rsidRPr="00B91CDC" w:rsidRDefault="00F318E5" w:rsidP="00E61C1D">
      <w:p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 xml:space="preserve">3. </w:t>
      </w:r>
      <w:r w:rsidR="00F72124" w:rsidRPr="00B91CDC">
        <w:rPr>
          <w:rFonts w:ascii="Times New Roman" w:hAnsi="Times New Roman" w:cs="Times New Roman"/>
          <w:sz w:val="28"/>
          <w:szCs w:val="28"/>
          <w:lang w:val="fr-FR"/>
        </w:rPr>
        <w:t>L'Agenda 2026 de l'OCI pour la science, la technologie et l'innovation (STI) adopté lors du premier sommet de l'OCI sur la science et la technologie tenu à Nour-Soultan, République du Kazakhstan le 10 septembre 2017 contenait des dispositions visant à encourager la création de Banques nationales de gènes pour la conservation et l'échange de ressources phytogénétiques (PGR) avec des centres de recherche dans les États membres de l'OCI</w:t>
      </w:r>
      <w:r w:rsidR="00D965EE" w:rsidRPr="00B91CDC">
        <w:rPr>
          <w:rFonts w:ascii="Times New Roman" w:hAnsi="Times New Roman" w:cs="Times New Roman"/>
          <w:sz w:val="28"/>
          <w:szCs w:val="28"/>
          <w:lang w:val="fr-FR"/>
        </w:rPr>
        <w:t xml:space="preserve">.  </w:t>
      </w:r>
    </w:p>
    <w:p w14:paraId="0910C58B" w14:textId="77777777" w:rsidR="00E61C1D" w:rsidRPr="00B91CDC" w:rsidRDefault="00E61C1D" w:rsidP="00E61C1D">
      <w:pPr>
        <w:spacing w:after="0"/>
        <w:jc w:val="both"/>
        <w:rPr>
          <w:rFonts w:ascii="Times New Roman" w:hAnsi="Times New Roman" w:cs="Times New Roman"/>
          <w:sz w:val="28"/>
          <w:szCs w:val="28"/>
          <w:lang w:val="fr-FR"/>
        </w:rPr>
      </w:pPr>
    </w:p>
    <w:p w14:paraId="1920A861" w14:textId="637722C9" w:rsidR="006E4695" w:rsidRPr="00B91CDC" w:rsidRDefault="00F318E5" w:rsidP="00E61C1D">
      <w:p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 xml:space="preserve">4. </w:t>
      </w:r>
      <w:r w:rsidR="00F72124" w:rsidRPr="00B91CDC">
        <w:rPr>
          <w:rFonts w:ascii="Times New Roman" w:hAnsi="Times New Roman" w:cs="Times New Roman"/>
          <w:sz w:val="28"/>
          <w:szCs w:val="28"/>
          <w:lang w:val="fr-FR"/>
        </w:rPr>
        <w:t>Les Banques de gènes sont restées le pont entre le passé et l'avenir, car elles garantissent la disponibilité des ressources génétiques pour la recherche, la sélection et l'amélioration de la livraison de semences, soulignant que la perte de biodiversité résultait du fait que les agriculteurs abandonnaient leurs variétés locales adaptées localement et leurs variétés de cultures traditionnelles pour des variétés à haut rendement.</w:t>
      </w:r>
      <w:bookmarkStart w:id="4" w:name="_Hlk53228363"/>
      <w:bookmarkEnd w:id="3"/>
      <w:r w:rsidR="00F72124" w:rsidRPr="00B91CDC">
        <w:rPr>
          <w:rFonts w:ascii="Times New Roman" w:eastAsia="Times New Roman" w:hAnsi="Times New Roman" w:cs="Times New Roman"/>
          <w:color w:val="000000"/>
          <w:sz w:val="28"/>
          <w:szCs w:val="28"/>
          <w:lang w:val="fr-FR" w:eastAsia="ru-RU"/>
        </w:rPr>
        <w:t xml:space="preserve"> Le développement des banques nationales de gènes dans les États </w:t>
      </w:r>
      <w:r w:rsidR="00F72124" w:rsidRPr="00B91CDC">
        <w:rPr>
          <w:rFonts w:ascii="Times New Roman" w:eastAsia="Times New Roman" w:hAnsi="Times New Roman" w:cs="Times New Roman"/>
          <w:color w:val="000000"/>
          <w:sz w:val="28"/>
          <w:szCs w:val="28"/>
          <w:lang w:val="fr-FR" w:eastAsia="ru-RU"/>
        </w:rPr>
        <w:lastRenderedPageBreak/>
        <w:t>membres de l'OCI grâce à des efforts coordonnés des États membres est très urgent, afin de réaliser les objectifs de sécurité alimentaire pour les populations grouillantes de ses États membres, comme énoncé dans le statut de l'OISA, approuvé par le Conseil des Ministres des Affaires Etrangères en 2013</w:t>
      </w:r>
      <w:r w:rsidR="008A042B" w:rsidRPr="00B91CDC">
        <w:rPr>
          <w:rFonts w:ascii="Times New Roman" w:hAnsi="Times New Roman" w:cs="Times New Roman"/>
          <w:sz w:val="28"/>
          <w:szCs w:val="28"/>
          <w:lang w:val="fr-FR"/>
        </w:rPr>
        <w:t>.</w:t>
      </w:r>
      <w:r w:rsidR="00D1009C" w:rsidRPr="00B91CDC">
        <w:rPr>
          <w:rFonts w:ascii="Times New Roman" w:hAnsi="Times New Roman" w:cs="Times New Roman"/>
          <w:sz w:val="28"/>
          <w:szCs w:val="28"/>
          <w:lang w:val="fr-FR"/>
        </w:rPr>
        <w:t xml:space="preserve"> </w:t>
      </w:r>
    </w:p>
    <w:p w14:paraId="6C7E692F" w14:textId="77777777" w:rsidR="00E61C1D" w:rsidRPr="00B91CDC" w:rsidRDefault="00E61C1D" w:rsidP="00E61C1D">
      <w:pPr>
        <w:spacing w:after="0"/>
        <w:jc w:val="both"/>
        <w:rPr>
          <w:rFonts w:ascii="Times New Roman" w:hAnsi="Times New Roman" w:cs="Times New Roman"/>
          <w:sz w:val="28"/>
          <w:szCs w:val="28"/>
          <w:lang w:val="fr-FR"/>
        </w:rPr>
      </w:pPr>
    </w:p>
    <w:bookmarkEnd w:id="4"/>
    <w:p w14:paraId="209ABB41" w14:textId="1D3552E9" w:rsidR="00C9168F" w:rsidRPr="00B91CDC" w:rsidRDefault="00F318E5" w:rsidP="00E61C1D">
      <w:p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 xml:space="preserve">5. </w:t>
      </w:r>
      <w:r w:rsidR="00F72124" w:rsidRPr="00B91CDC">
        <w:rPr>
          <w:rFonts w:ascii="Times New Roman" w:hAnsi="Times New Roman" w:cs="Times New Roman"/>
          <w:sz w:val="28"/>
          <w:szCs w:val="28"/>
          <w:lang w:val="fr-FR"/>
        </w:rPr>
        <w:t>À cet égard, l'Atelier sur le développement des banques nationales de gènes dans les pays de l'OCI a été organisé par l'Organisation Islamique pour la Sécurité Alimentaire (OISA) en collaboration avec le gouvernement des Émirats Arabes Unis, l'Organisation pour l'Alimentation et l'Agriculture (FAO) et le Comité permanent de l'OCI sur la coopération scientifique et technologique. (COMSTECH) du 5 au 6 juillet 2020, comprenant des experts des États membres de l'Organisation de la Coopération Islamique et de l'Organisation Islamique pour la Sécurité Alimentaire et des participants des organisations pertinentes de l'OCI et des organisations internationales. L'OISA a appelé tous les États membres participant à l'Atelier à mettre à jour leurs rapports nationaux sur les ressources phytogénétiques et animales, notamment en soutenant des campagnes nationales de sensibilisation pour une participation plus large des organisations communautaires et du secteur privé. L'Atelier devait examiner la possibilité d'élaborer un mécanisme régional pour la protection, la conservation, l'échange de vues, le développement des capacités humaines et institutionnelles en ce qui concerne les ressources phytogénétiques pour l'alimentation et l'agriculture dans les Etats membres de l'OCI. L'Atelier s'est conclu par l'adoption de la Déclaration de Dubaï sur l'atelier virtuel sur le développement des banques nationales de gènes dans les États membres de l'OCI</w:t>
      </w:r>
      <w:r w:rsidR="00127F1E" w:rsidRPr="00B91CDC">
        <w:rPr>
          <w:rFonts w:ascii="Times New Roman" w:hAnsi="Times New Roman" w:cs="Times New Roman"/>
          <w:sz w:val="28"/>
          <w:szCs w:val="28"/>
          <w:lang w:val="fr-FR"/>
        </w:rPr>
        <w:t>.</w:t>
      </w:r>
    </w:p>
    <w:p w14:paraId="21BA7CBA" w14:textId="77777777" w:rsidR="00EC3E58" w:rsidRPr="00B91CDC" w:rsidRDefault="00EC3E58" w:rsidP="00E61C1D">
      <w:pPr>
        <w:spacing w:after="0"/>
        <w:jc w:val="both"/>
        <w:rPr>
          <w:rFonts w:ascii="Times New Roman" w:hAnsi="Times New Roman" w:cs="Times New Roman"/>
          <w:sz w:val="28"/>
          <w:szCs w:val="28"/>
          <w:lang w:val="fr-FR"/>
        </w:rPr>
      </w:pPr>
    </w:p>
    <w:p w14:paraId="75DB0758" w14:textId="77F6A3E5" w:rsidR="00A342F0" w:rsidRPr="00B91CDC" w:rsidRDefault="00F318E5" w:rsidP="00E61C1D">
      <w:pPr>
        <w:spacing w:after="0"/>
        <w:jc w:val="both"/>
        <w:rPr>
          <w:rFonts w:ascii="Times New Roman" w:hAnsi="Times New Roman" w:cs="Times New Roman"/>
          <w:b/>
          <w:bCs/>
          <w:sz w:val="28"/>
          <w:szCs w:val="28"/>
          <w:lang w:val="fr-FR"/>
        </w:rPr>
      </w:pPr>
      <w:r w:rsidRPr="00B91CDC">
        <w:rPr>
          <w:rFonts w:ascii="Times New Roman" w:hAnsi="Times New Roman" w:cs="Times New Roman"/>
          <w:b/>
          <w:bCs/>
          <w:sz w:val="28"/>
          <w:szCs w:val="28"/>
          <w:lang w:val="fr-FR"/>
        </w:rPr>
        <w:t>Rapports de pays de l'Atelier</w:t>
      </w:r>
    </w:p>
    <w:p w14:paraId="07FD5F17" w14:textId="461E288A" w:rsidR="008F62C2" w:rsidRPr="00B91CDC" w:rsidRDefault="00F318E5" w:rsidP="00E61C1D">
      <w:p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 xml:space="preserve">6. </w:t>
      </w:r>
      <w:r w:rsidR="00FB2E3F" w:rsidRPr="00B91CDC">
        <w:rPr>
          <w:rFonts w:ascii="Times New Roman" w:hAnsi="Times New Roman" w:cs="Times New Roman"/>
          <w:sz w:val="28"/>
          <w:szCs w:val="28"/>
          <w:lang w:val="fr-FR"/>
        </w:rPr>
        <w:t>Les diverses contributions des États membres de l'OCI / OISA sont utiles pour déterminer l'étendue du développement des ressources phytogénétiques pour l'alimentation et l'agriculture dans les États membres de l'OCI</w:t>
      </w:r>
      <w:r w:rsidR="00120683" w:rsidRPr="00B91CDC">
        <w:rPr>
          <w:rFonts w:ascii="Times New Roman" w:hAnsi="Times New Roman" w:cs="Times New Roman"/>
          <w:sz w:val="28"/>
          <w:szCs w:val="28"/>
          <w:lang w:val="fr-FR"/>
        </w:rPr>
        <w:t>.</w:t>
      </w:r>
    </w:p>
    <w:p w14:paraId="0E06008A" w14:textId="77777777" w:rsidR="00E61C1D" w:rsidRPr="00B91CDC" w:rsidRDefault="00E61C1D" w:rsidP="00E61C1D">
      <w:pPr>
        <w:spacing w:after="0"/>
        <w:jc w:val="both"/>
        <w:rPr>
          <w:rFonts w:ascii="Times New Roman" w:hAnsi="Times New Roman" w:cs="Times New Roman"/>
          <w:sz w:val="28"/>
          <w:szCs w:val="28"/>
          <w:lang w:val="fr-FR"/>
        </w:rPr>
      </w:pPr>
    </w:p>
    <w:p w14:paraId="6EB5BA6B" w14:textId="1A0C3412" w:rsidR="00A342F0" w:rsidRPr="00B91CDC" w:rsidRDefault="00FB2E3F" w:rsidP="00E61C1D">
      <w:pPr>
        <w:spacing w:after="0"/>
        <w:jc w:val="both"/>
        <w:rPr>
          <w:rFonts w:ascii="Times New Roman" w:hAnsi="Times New Roman" w:cs="Times New Roman"/>
          <w:iCs/>
          <w:sz w:val="28"/>
          <w:szCs w:val="28"/>
          <w:u w:val="single"/>
          <w:lang w:val="fr-FR"/>
        </w:rPr>
      </w:pPr>
      <w:r w:rsidRPr="00B91CDC">
        <w:rPr>
          <w:rFonts w:ascii="Times New Roman" w:hAnsi="Times New Roman" w:cs="Times New Roman"/>
          <w:iCs/>
          <w:sz w:val="28"/>
          <w:szCs w:val="28"/>
          <w:u w:val="single"/>
          <w:lang w:val="fr-FR"/>
        </w:rPr>
        <w:t>Expériences nationales de la Turquie sur les ressources phytogénétiques</w:t>
      </w:r>
    </w:p>
    <w:p w14:paraId="7F4D2E13" w14:textId="079889B3" w:rsidR="00FB2E3F" w:rsidRPr="00B91CDC" w:rsidRDefault="00F318E5" w:rsidP="00E61C1D">
      <w:pPr>
        <w:spacing w:after="0"/>
        <w:ind w:right="23"/>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 xml:space="preserve">7. </w:t>
      </w:r>
      <w:r w:rsidR="00FB2E3F" w:rsidRPr="00B91CDC">
        <w:rPr>
          <w:rFonts w:ascii="Times New Roman" w:hAnsi="Times New Roman" w:cs="Times New Roman"/>
          <w:sz w:val="28"/>
          <w:szCs w:val="28"/>
          <w:lang w:val="fr-FR"/>
        </w:rPr>
        <w:t>La Turquie est l'un des pays les plus importants avec ses riches ressources phytogénétiques / diversité végétale. Deux des Centres d'origine de Vavilov (c'est-à-dire les centres du Proche-Orient et de la Méditerranée) s'étendent en Turquie. De plus, la Turquie est également l'un des centres de domestication où l'agriculture ancienne avait commencé. La Turquie est dotée d'une riche diversité de familles, de genres et d'espèces végétales (163 familles, 1 225 genres et 12 000 espèces).</w:t>
      </w:r>
    </w:p>
    <w:p w14:paraId="01E739F9" w14:textId="77777777" w:rsidR="00E61C1D" w:rsidRPr="00B91CDC" w:rsidRDefault="00E61C1D" w:rsidP="00E61C1D">
      <w:pPr>
        <w:spacing w:after="0"/>
        <w:ind w:right="23"/>
        <w:jc w:val="both"/>
        <w:rPr>
          <w:rFonts w:ascii="Times New Roman" w:hAnsi="Times New Roman" w:cs="Times New Roman"/>
          <w:sz w:val="28"/>
          <w:szCs w:val="28"/>
          <w:lang w:val="fr-FR"/>
        </w:rPr>
      </w:pPr>
    </w:p>
    <w:p w14:paraId="1C866B32" w14:textId="0F4F22F2" w:rsidR="00A342F0" w:rsidRPr="00B91CDC" w:rsidRDefault="007356C4" w:rsidP="00E61C1D">
      <w:pPr>
        <w:spacing w:after="0"/>
        <w:ind w:right="23"/>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 xml:space="preserve">8. </w:t>
      </w:r>
      <w:r w:rsidR="00FB2E3F" w:rsidRPr="00B91CDC">
        <w:rPr>
          <w:rFonts w:ascii="Times New Roman" w:hAnsi="Times New Roman" w:cs="Times New Roman"/>
          <w:sz w:val="28"/>
          <w:szCs w:val="28"/>
          <w:lang w:val="fr-FR"/>
        </w:rPr>
        <w:t xml:space="preserve">La banque turque de gènes de semences a effectué : collecte, documentation, préservation et régénération des races locales, des populations villageoises et des espèces sauvages apparentées aux cultures sur la base des normes de la Banque de gènes de la FAO. La banque turque de gènes de semences comprend la documentation, un laboratoire de physiologie des semences pour les tests de germination, une unité de séchage, des salles de conservation, une unité d'herbier et </w:t>
      </w:r>
      <w:r w:rsidR="00FB2E3F" w:rsidRPr="00B91CDC">
        <w:rPr>
          <w:rFonts w:ascii="Times New Roman" w:hAnsi="Times New Roman" w:cs="Times New Roman"/>
          <w:sz w:val="28"/>
          <w:szCs w:val="28"/>
          <w:lang w:val="fr-FR"/>
        </w:rPr>
        <w:lastRenderedPageBreak/>
        <w:t>des champs de régénération. En outre, 18 banques de gènes de terrain détiennent des ressources génétiques végétales végétales. La banque turque de gènes de semences détient environ 52 000 entrées de 900 espèces. 70% des accessions appartiennent au genre Triticum. De plus, la régénération d'environ 2 000 matières de blé est effectuée chaque année</w:t>
      </w:r>
      <w:r w:rsidR="00A342F0" w:rsidRPr="00B91CDC">
        <w:rPr>
          <w:rFonts w:ascii="Times New Roman" w:hAnsi="Times New Roman" w:cs="Times New Roman"/>
          <w:sz w:val="28"/>
          <w:szCs w:val="28"/>
          <w:lang w:val="fr-FR"/>
        </w:rPr>
        <w:t xml:space="preserve">. </w:t>
      </w:r>
    </w:p>
    <w:p w14:paraId="250F47C0" w14:textId="77777777" w:rsidR="00E61C1D" w:rsidRPr="00B91CDC" w:rsidRDefault="00E61C1D" w:rsidP="00E61C1D">
      <w:pPr>
        <w:spacing w:after="0"/>
        <w:ind w:right="23"/>
        <w:jc w:val="both"/>
        <w:rPr>
          <w:rFonts w:ascii="Times New Roman" w:hAnsi="Times New Roman" w:cs="Times New Roman"/>
          <w:sz w:val="28"/>
          <w:szCs w:val="28"/>
          <w:lang w:val="fr-FR"/>
        </w:rPr>
      </w:pPr>
    </w:p>
    <w:p w14:paraId="71B9A86C" w14:textId="01104B32" w:rsidR="00A342F0" w:rsidRPr="00B91CDC" w:rsidRDefault="002E5D3F" w:rsidP="00E61C1D">
      <w:pPr>
        <w:spacing w:after="0"/>
        <w:jc w:val="both"/>
        <w:rPr>
          <w:rFonts w:ascii="Times New Roman" w:hAnsi="Times New Roman" w:cs="Times New Roman"/>
          <w:iCs/>
          <w:sz w:val="28"/>
          <w:szCs w:val="28"/>
          <w:u w:val="single"/>
          <w:lang w:val="fr-FR"/>
        </w:rPr>
      </w:pPr>
      <w:r w:rsidRPr="00B91CDC">
        <w:rPr>
          <w:rFonts w:ascii="Times New Roman" w:hAnsi="Times New Roman" w:cs="Times New Roman"/>
          <w:iCs/>
          <w:sz w:val="28"/>
          <w:szCs w:val="28"/>
          <w:u w:val="single"/>
          <w:lang w:val="fr-FR"/>
        </w:rPr>
        <w:t>Ressources génétiques des plantes au Kazakhstan</w:t>
      </w:r>
    </w:p>
    <w:p w14:paraId="7A7F1DA8" w14:textId="0F02040E" w:rsidR="00A342F0" w:rsidRPr="00B91CDC" w:rsidRDefault="007356C4" w:rsidP="00E61C1D">
      <w:pPr>
        <w:spacing w:after="0"/>
        <w:jc w:val="both"/>
        <w:rPr>
          <w:rFonts w:ascii="Times New Roman" w:hAnsi="Times New Roman" w:cs="Times New Roman"/>
          <w:sz w:val="28"/>
          <w:szCs w:val="28"/>
          <w:lang w:val="fr-FR"/>
        </w:rPr>
      </w:pPr>
      <w:r w:rsidRPr="00B91CDC">
        <w:rPr>
          <w:rFonts w:ascii="Times New Roman" w:eastAsia="Times New Roman" w:hAnsi="Times New Roman" w:cs="Times New Roman"/>
          <w:color w:val="000000"/>
          <w:sz w:val="28"/>
          <w:szCs w:val="28"/>
          <w:lang w:val="fr-FR" w:eastAsia="ru-RU"/>
        </w:rPr>
        <w:t>9</w:t>
      </w:r>
      <w:r w:rsidR="00F318E5" w:rsidRPr="00B91CDC">
        <w:rPr>
          <w:rFonts w:ascii="Times New Roman" w:eastAsia="Times New Roman" w:hAnsi="Times New Roman" w:cs="Times New Roman"/>
          <w:color w:val="000000"/>
          <w:sz w:val="28"/>
          <w:szCs w:val="28"/>
          <w:lang w:val="fr-FR" w:eastAsia="ru-RU"/>
        </w:rPr>
        <w:t xml:space="preserve">. </w:t>
      </w:r>
      <w:r w:rsidR="002E5D3F" w:rsidRPr="00B91CDC">
        <w:rPr>
          <w:rFonts w:ascii="Times New Roman" w:eastAsia="Times New Roman" w:hAnsi="Times New Roman" w:cs="Times New Roman"/>
          <w:color w:val="000000"/>
          <w:sz w:val="28"/>
          <w:szCs w:val="28"/>
          <w:lang w:val="fr-FR" w:eastAsia="ru-RU"/>
        </w:rPr>
        <w:t>Le Kazakhstan est l'un des 152 pays au monde à avoir signé la « Convention sur la diversité biologique », qui impose tout d'abord la responsabilité de la conservation et de l'utilisation rationnelle de ses propres ressources phytogénétiques. Depuis 1996, les modalités de mise en œuvre des dispositions de la "Convention" sont marquées par les grandes orientations du programme républicain sur les ressources phytogénétiques pour l'alimentation et l'agriculture (RPGAA): collecte, étude, documentation, stockage et utilisation</w:t>
      </w:r>
      <w:r w:rsidR="00A342F0" w:rsidRPr="00B91CDC">
        <w:rPr>
          <w:rFonts w:ascii="Times New Roman" w:hAnsi="Times New Roman" w:cs="Times New Roman"/>
          <w:sz w:val="28"/>
          <w:szCs w:val="28"/>
          <w:lang w:val="fr-FR"/>
        </w:rPr>
        <w:t xml:space="preserve">. </w:t>
      </w:r>
    </w:p>
    <w:p w14:paraId="7A9775F7" w14:textId="77777777" w:rsidR="00E61C1D" w:rsidRPr="00B91CDC" w:rsidRDefault="00E61C1D" w:rsidP="00E61C1D">
      <w:pPr>
        <w:spacing w:after="0"/>
        <w:jc w:val="both"/>
        <w:rPr>
          <w:rFonts w:ascii="Times New Roman" w:hAnsi="Times New Roman" w:cs="Times New Roman"/>
          <w:sz w:val="28"/>
          <w:szCs w:val="28"/>
          <w:lang w:val="fr-FR"/>
        </w:rPr>
      </w:pPr>
    </w:p>
    <w:p w14:paraId="7EC23156" w14:textId="31BA7322" w:rsidR="00A342F0" w:rsidRPr="00B91CDC" w:rsidRDefault="007356C4" w:rsidP="00E61C1D">
      <w:pPr>
        <w:spacing w:after="0"/>
        <w:jc w:val="both"/>
        <w:rPr>
          <w:rFonts w:ascii="Times New Roman" w:hAnsi="Times New Roman" w:cs="Times New Roman"/>
          <w:sz w:val="28"/>
          <w:szCs w:val="28"/>
          <w:lang w:val="fr-FR"/>
        </w:rPr>
      </w:pPr>
      <w:r w:rsidRPr="00B91CDC">
        <w:rPr>
          <w:rFonts w:ascii="Times New Roman" w:eastAsia="Times New Roman" w:hAnsi="Times New Roman" w:cs="Times New Roman"/>
          <w:color w:val="000000"/>
          <w:sz w:val="28"/>
          <w:szCs w:val="28"/>
          <w:lang w:val="fr-FR" w:eastAsia="ru-RU"/>
        </w:rPr>
        <w:t xml:space="preserve">10. </w:t>
      </w:r>
      <w:r w:rsidR="002E5D3F" w:rsidRPr="00B91CDC">
        <w:rPr>
          <w:rFonts w:ascii="Times New Roman" w:eastAsia="Times New Roman" w:hAnsi="Times New Roman" w:cs="Times New Roman"/>
          <w:color w:val="000000"/>
          <w:sz w:val="28"/>
          <w:szCs w:val="28"/>
          <w:lang w:val="fr-FR" w:eastAsia="ru-RU"/>
        </w:rPr>
        <w:t>L'une des principales exigences est que les ressources phytogénétiques doivent refléter la diversité des espèces et des écosystèmes de la région. Au Kazakhstan, l'accent a été mis sur l'exploration de l'agrobiodiversité unique d'importance mondiale. Ils comprennent 194 espèces végétales appartenant à 24 cultures agricoles. Un certain nombre d'entre eux ont une valeur significative à la fois pour le développement de l'agriculture et pour l'expansion du potentiel d'exportation de la République. Plus de 210 espèces de flore du Kazakhstan sont des espèces sauvages apparentées aux plantes agricoles</w:t>
      </w:r>
      <w:r w:rsidR="00A342F0" w:rsidRPr="00B91CDC">
        <w:rPr>
          <w:rFonts w:ascii="Times New Roman" w:hAnsi="Times New Roman" w:cs="Times New Roman"/>
          <w:sz w:val="28"/>
          <w:szCs w:val="28"/>
          <w:lang w:val="fr-FR"/>
        </w:rPr>
        <w:t xml:space="preserve">. </w:t>
      </w:r>
      <w:r w:rsidR="000502DF" w:rsidRPr="00B91CDC">
        <w:rPr>
          <w:rFonts w:ascii="Times New Roman" w:hAnsi="Times New Roman" w:cs="Times New Roman"/>
          <w:sz w:val="28"/>
          <w:szCs w:val="28"/>
          <w:lang w:val="fr-FR"/>
        </w:rPr>
        <w:t>Son patrimoine génétique au Kazakhstan appartient à l'un des centres les plus riches - l'Asie centrale, qui est considérée comme la principale source de graines de luzerne</w:t>
      </w:r>
      <w:r w:rsidR="00A342F0" w:rsidRPr="00B91CDC">
        <w:rPr>
          <w:rFonts w:ascii="Times New Roman" w:hAnsi="Times New Roman" w:cs="Times New Roman"/>
          <w:sz w:val="28"/>
          <w:szCs w:val="28"/>
          <w:lang w:val="fr-FR"/>
        </w:rPr>
        <w:t xml:space="preserve">. </w:t>
      </w:r>
      <w:r w:rsidR="000502DF" w:rsidRPr="00B91CDC">
        <w:rPr>
          <w:rFonts w:ascii="Times New Roman" w:eastAsia="Times New Roman" w:hAnsi="Times New Roman" w:cs="Times New Roman"/>
          <w:color w:val="000000"/>
          <w:sz w:val="28"/>
          <w:szCs w:val="28"/>
          <w:lang w:val="fr-FR" w:eastAsia="ru-RU"/>
        </w:rPr>
        <w:t>Actuellement, la sélection est effectuée dans la République dans plus de 20 organisations scientifiques pour environ 50 cultures</w:t>
      </w:r>
      <w:r w:rsidR="00A342F0" w:rsidRPr="00B91CDC">
        <w:rPr>
          <w:rFonts w:ascii="Times New Roman" w:hAnsi="Times New Roman" w:cs="Times New Roman"/>
          <w:sz w:val="28"/>
          <w:szCs w:val="28"/>
          <w:lang w:val="fr-FR"/>
        </w:rPr>
        <w:t xml:space="preserve">. </w:t>
      </w:r>
      <w:r w:rsidR="002E5D3F" w:rsidRPr="00B91CDC">
        <w:rPr>
          <w:rFonts w:ascii="Times New Roman" w:hAnsi="Times New Roman" w:cs="Times New Roman"/>
          <w:sz w:val="28"/>
          <w:szCs w:val="28"/>
          <w:lang w:val="fr-FR"/>
        </w:rPr>
        <w:t xml:space="preserve"> </w:t>
      </w:r>
    </w:p>
    <w:p w14:paraId="4253C206" w14:textId="77777777" w:rsidR="00E61C1D" w:rsidRPr="00B91CDC" w:rsidRDefault="00E61C1D" w:rsidP="00E61C1D">
      <w:pPr>
        <w:spacing w:after="0"/>
        <w:jc w:val="both"/>
        <w:rPr>
          <w:rFonts w:ascii="Times New Roman" w:hAnsi="Times New Roman" w:cs="Times New Roman"/>
          <w:sz w:val="28"/>
          <w:szCs w:val="28"/>
          <w:lang w:val="fr-FR"/>
        </w:rPr>
      </w:pPr>
    </w:p>
    <w:p w14:paraId="776EB845" w14:textId="61A92AC5" w:rsidR="00286D6A" w:rsidRPr="00B91CDC" w:rsidRDefault="000502DF" w:rsidP="00E61C1D">
      <w:pPr>
        <w:spacing w:after="0"/>
        <w:jc w:val="both"/>
        <w:rPr>
          <w:rFonts w:ascii="Times New Roman" w:hAnsi="Times New Roman" w:cs="Times New Roman"/>
          <w:iCs/>
          <w:sz w:val="28"/>
          <w:szCs w:val="28"/>
          <w:u w:val="single"/>
          <w:lang w:val="fr-FR"/>
        </w:rPr>
      </w:pPr>
      <w:r w:rsidRPr="00B91CDC">
        <w:rPr>
          <w:rFonts w:ascii="Times New Roman" w:hAnsi="Times New Roman" w:cs="Times New Roman"/>
          <w:iCs/>
          <w:sz w:val="28"/>
          <w:szCs w:val="28"/>
          <w:u w:val="single"/>
          <w:lang w:val="fr-FR"/>
        </w:rPr>
        <w:t>Principales réalisations de l'Arabie Saoudite sur Gene Bank</w:t>
      </w:r>
    </w:p>
    <w:p w14:paraId="6DA014BE" w14:textId="55871D16" w:rsidR="00286D6A" w:rsidRPr="00B91CDC" w:rsidRDefault="007356C4" w:rsidP="00E61C1D">
      <w:pPr>
        <w:spacing w:after="0"/>
        <w:jc w:val="both"/>
        <w:rPr>
          <w:rFonts w:ascii="Times New Roman" w:hAnsi="Times New Roman" w:cs="Times New Roman"/>
          <w:sz w:val="28"/>
          <w:szCs w:val="28"/>
          <w:lang w:val="fr-FR"/>
        </w:rPr>
      </w:pPr>
      <w:r w:rsidRPr="00B91CDC">
        <w:rPr>
          <w:rFonts w:ascii="Times New Roman" w:eastAsia="Times New Roman" w:hAnsi="Times New Roman" w:cs="Times New Roman"/>
          <w:color w:val="000000"/>
          <w:sz w:val="28"/>
          <w:szCs w:val="28"/>
          <w:lang w:val="fr-FR" w:eastAsia="ru-RU"/>
        </w:rPr>
        <w:t>11</w:t>
      </w:r>
      <w:r w:rsidR="00F318E5" w:rsidRPr="00B91CDC">
        <w:rPr>
          <w:rFonts w:ascii="Times New Roman" w:eastAsia="Times New Roman" w:hAnsi="Times New Roman" w:cs="Times New Roman"/>
          <w:color w:val="000000"/>
          <w:sz w:val="28"/>
          <w:szCs w:val="28"/>
          <w:lang w:val="fr-FR" w:eastAsia="ru-RU"/>
        </w:rPr>
        <w:t xml:space="preserve">. </w:t>
      </w:r>
      <w:r w:rsidR="000502DF" w:rsidRPr="00B91CDC">
        <w:rPr>
          <w:rFonts w:ascii="Times New Roman" w:eastAsia="Times New Roman" w:hAnsi="Times New Roman" w:cs="Times New Roman"/>
          <w:color w:val="000000"/>
          <w:sz w:val="28"/>
          <w:szCs w:val="28"/>
          <w:lang w:val="fr-FR" w:eastAsia="ru-RU"/>
        </w:rPr>
        <w:t>Les principales réalisations du Royaume d'Arabie Saoudite dans le domaine du développement et des opérations de Gene Bank peuvent être résumées comme suit</w:t>
      </w:r>
      <w:r w:rsidR="00D77CAE" w:rsidRPr="00B91CDC">
        <w:rPr>
          <w:rFonts w:ascii="Times New Roman" w:hAnsi="Times New Roman" w:cs="Times New Roman"/>
          <w:sz w:val="28"/>
          <w:szCs w:val="28"/>
          <w:lang w:val="fr-FR"/>
        </w:rPr>
        <w:t>:</w:t>
      </w:r>
    </w:p>
    <w:p w14:paraId="297F8626" w14:textId="77777777" w:rsidR="000502DF" w:rsidRPr="00B91CDC" w:rsidRDefault="000502DF" w:rsidP="00E61C1D">
      <w:pPr>
        <w:numPr>
          <w:ilvl w:val="0"/>
          <w:numId w:val="25"/>
        </w:numPr>
        <w:spacing w:after="0" w:line="240" w:lineRule="auto"/>
        <w:jc w:val="both"/>
        <w:textAlignment w:val="baseline"/>
        <w:rPr>
          <w:rFonts w:ascii="Times New Roman" w:eastAsia="Times New Roman" w:hAnsi="Times New Roman" w:cs="Times New Roman"/>
          <w:color w:val="000000"/>
          <w:sz w:val="28"/>
          <w:szCs w:val="28"/>
          <w:lang w:val="fr-FR" w:eastAsia="ru-RU"/>
        </w:rPr>
      </w:pPr>
      <w:r w:rsidRPr="00B91CDC">
        <w:rPr>
          <w:rFonts w:ascii="Times New Roman" w:eastAsia="Times New Roman" w:hAnsi="Times New Roman" w:cs="Times New Roman"/>
          <w:color w:val="000000"/>
          <w:sz w:val="28"/>
          <w:szCs w:val="28"/>
          <w:lang w:val="fr-FR" w:eastAsia="ru-RU"/>
        </w:rPr>
        <w:t>Préparer du 1er rapport national sur l'état de la biodiversité pour l'alimentation et l'agriculture en Arabie Saoudite en ce qui concerne les RPGAA dans le cadre de la FAO ;</w:t>
      </w:r>
    </w:p>
    <w:p w14:paraId="1C4A3719" w14:textId="77777777" w:rsidR="000502DF" w:rsidRPr="00B91CDC" w:rsidRDefault="000502DF" w:rsidP="00E61C1D">
      <w:pPr>
        <w:numPr>
          <w:ilvl w:val="0"/>
          <w:numId w:val="25"/>
        </w:numPr>
        <w:spacing w:after="0" w:line="240" w:lineRule="auto"/>
        <w:jc w:val="both"/>
        <w:textAlignment w:val="baseline"/>
        <w:rPr>
          <w:rFonts w:ascii="Times New Roman" w:eastAsia="Times New Roman" w:hAnsi="Times New Roman" w:cs="Times New Roman"/>
          <w:color w:val="000000"/>
          <w:sz w:val="28"/>
          <w:szCs w:val="28"/>
          <w:lang w:val="fr-FR" w:eastAsia="ru-RU"/>
        </w:rPr>
      </w:pPr>
      <w:r w:rsidRPr="00B91CDC">
        <w:rPr>
          <w:rFonts w:ascii="Times New Roman" w:eastAsia="Times New Roman" w:hAnsi="Times New Roman" w:cs="Times New Roman"/>
          <w:color w:val="000000"/>
          <w:sz w:val="28"/>
          <w:szCs w:val="28"/>
          <w:lang w:val="fr-FR" w:eastAsia="ru-RU"/>
        </w:rPr>
        <w:t>Récupérer de certaines variétés végétales appartenant à l'Arabie Saoudite auprès des centres internationaux de conservation, tels que le Centre international d'amélioration du maïs et du blé (CIMMYT) et le Centre international de recherche agricole dans les zones sèches (ICARDA) ;</w:t>
      </w:r>
    </w:p>
    <w:p w14:paraId="66308502" w14:textId="76BD28E5" w:rsidR="000502DF" w:rsidRPr="00B91CDC" w:rsidRDefault="000502DF" w:rsidP="00E61C1D">
      <w:pPr>
        <w:numPr>
          <w:ilvl w:val="0"/>
          <w:numId w:val="25"/>
        </w:numPr>
        <w:spacing w:after="0" w:line="240" w:lineRule="auto"/>
        <w:jc w:val="both"/>
        <w:textAlignment w:val="baseline"/>
        <w:rPr>
          <w:rFonts w:ascii="Times New Roman" w:eastAsia="Times New Roman" w:hAnsi="Times New Roman" w:cs="Times New Roman"/>
          <w:color w:val="000000"/>
          <w:sz w:val="28"/>
          <w:szCs w:val="28"/>
          <w:lang w:val="fr-FR" w:eastAsia="ru-RU"/>
        </w:rPr>
      </w:pPr>
      <w:r w:rsidRPr="00B91CDC">
        <w:rPr>
          <w:rFonts w:ascii="Times New Roman" w:eastAsia="Times New Roman" w:hAnsi="Times New Roman" w:cs="Times New Roman"/>
          <w:color w:val="000000"/>
          <w:sz w:val="28"/>
          <w:szCs w:val="28"/>
          <w:lang w:val="fr-FR" w:eastAsia="ru-RU"/>
        </w:rPr>
        <w:t>Fournir aux chercheurs et aux étudiants des cycles supérieurs et aux agriculteurs des variétés végétales locales disponibles dans la banque de gènes;</w:t>
      </w:r>
    </w:p>
    <w:p w14:paraId="6E6B9024" w14:textId="77777777" w:rsidR="000502DF" w:rsidRPr="00B91CDC" w:rsidRDefault="000502DF" w:rsidP="00E61C1D">
      <w:pPr>
        <w:numPr>
          <w:ilvl w:val="0"/>
          <w:numId w:val="25"/>
        </w:numPr>
        <w:spacing w:after="0" w:line="240" w:lineRule="auto"/>
        <w:jc w:val="both"/>
        <w:textAlignment w:val="baseline"/>
        <w:rPr>
          <w:rFonts w:ascii="Times New Roman" w:eastAsia="Times New Roman" w:hAnsi="Times New Roman" w:cs="Times New Roman"/>
          <w:color w:val="000000"/>
          <w:sz w:val="28"/>
          <w:szCs w:val="28"/>
          <w:lang w:val="fr-FR" w:eastAsia="ru-RU"/>
        </w:rPr>
      </w:pPr>
      <w:r w:rsidRPr="00B91CDC">
        <w:rPr>
          <w:rFonts w:ascii="Times New Roman" w:eastAsia="Times New Roman" w:hAnsi="Times New Roman" w:cs="Times New Roman"/>
          <w:color w:val="000000"/>
          <w:sz w:val="28"/>
          <w:szCs w:val="28"/>
          <w:lang w:val="fr-FR" w:eastAsia="ru-RU"/>
        </w:rPr>
        <w:t>Organiser des sessions de formation pour les étudiants des universités et des écoles techniques ;</w:t>
      </w:r>
    </w:p>
    <w:p w14:paraId="3C1B1E85" w14:textId="2A63B2B9" w:rsidR="00286D6A" w:rsidRPr="00B91CDC" w:rsidRDefault="000502DF" w:rsidP="00E61C1D">
      <w:pPr>
        <w:pStyle w:val="a3"/>
        <w:numPr>
          <w:ilvl w:val="0"/>
          <w:numId w:val="25"/>
        </w:numPr>
        <w:spacing w:after="0"/>
        <w:jc w:val="both"/>
        <w:rPr>
          <w:rFonts w:ascii="Times New Roman" w:hAnsi="Times New Roman" w:cs="Times New Roman"/>
          <w:sz w:val="28"/>
          <w:szCs w:val="28"/>
          <w:lang w:val="fr-FR"/>
        </w:rPr>
      </w:pPr>
      <w:r w:rsidRPr="00B91CDC">
        <w:rPr>
          <w:rFonts w:ascii="Times New Roman" w:eastAsia="Times New Roman" w:hAnsi="Times New Roman" w:cs="Times New Roman"/>
          <w:color w:val="000000"/>
          <w:sz w:val="28"/>
          <w:szCs w:val="28"/>
          <w:lang w:val="fr-FR" w:eastAsia="ru-RU"/>
        </w:rPr>
        <w:lastRenderedPageBreak/>
        <w:t>Organiser des ateliers sur la conservation des variétés phytogénétiques et leur utilisation et avantages durables à Riyad en mars 2019, avec des participants d'universités, de responsables gouvernementaux et d'agriculteurs</w:t>
      </w:r>
      <w:r w:rsidR="00797D56" w:rsidRPr="00B91CDC">
        <w:rPr>
          <w:rFonts w:ascii="Times New Roman" w:hAnsi="Times New Roman" w:cs="Times New Roman"/>
          <w:sz w:val="28"/>
          <w:szCs w:val="28"/>
          <w:lang w:val="fr-FR"/>
        </w:rPr>
        <w:t>.</w:t>
      </w:r>
    </w:p>
    <w:p w14:paraId="4DCC33FB" w14:textId="77777777" w:rsidR="00E61C1D" w:rsidRPr="00B91CDC" w:rsidRDefault="00E61C1D" w:rsidP="00E61C1D">
      <w:pPr>
        <w:pStyle w:val="a3"/>
        <w:numPr>
          <w:ilvl w:val="0"/>
          <w:numId w:val="25"/>
        </w:numPr>
        <w:spacing w:after="0"/>
        <w:jc w:val="both"/>
        <w:rPr>
          <w:rFonts w:ascii="Times New Roman" w:hAnsi="Times New Roman" w:cs="Times New Roman"/>
          <w:sz w:val="28"/>
          <w:szCs w:val="28"/>
          <w:lang w:val="fr-FR"/>
        </w:rPr>
      </w:pPr>
    </w:p>
    <w:p w14:paraId="63C2CA4E" w14:textId="05F91870" w:rsidR="00D77CAE" w:rsidRPr="00B91CDC" w:rsidRDefault="000502DF" w:rsidP="00E61C1D">
      <w:pPr>
        <w:spacing w:after="0"/>
        <w:jc w:val="both"/>
        <w:rPr>
          <w:rFonts w:ascii="Times New Roman" w:hAnsi="Times New Roman" w:cs="Times New Roman"/>
          <w:sz w:val="28"/>
          <w:szCs w:val="28"/>
          <w:u w:val="single"/>
          <w:lang w:val="fr-FR"/>
        </w:rPr>
      </w:pPr>
      <w:r w:rsidRPr="00B91CDC">
        <w:rPr>
          <w:rFonts w:ascii="Times New Roman" w:eastAsia="Times New Roman" w:hAnsi="Times New Roman" w:cs="Times New Roman"/>
          <w:color w:val="000000"/>
          <w:sz w:val="28"/>
          <w:szCs w:val="28"/>
          <w:u w:val="single"/>
          <w:lang w:val="fr-FR" w:eastAsia="ru-RU"/>
        </w:rPr>
        <w:t>Conservation des ressources phytogénétiques ex situ au Pakistan</w:t>
      </w:r>
    </w:p>
    <w:p w14:paraId="42D7EDE6" w14:textId="61124706" w:rsidR="00D77CAE" w:rsidRPr="00B91CDC" w:rsidRDefault="00F318E5" w:rsidP="00E61C1D">
      <w:pPr>
        <w:spacing w:after="0"/>
        <w:jc w:val="both"/>
        <w:rPr>
          <w:rFonts w:ascii="Times New Roman" w:hAnsi="Times New Roman" w:cs="Times New Roman"/>
          <w:sz w:val="28"/>
          <w:szCs w:val="28"/>
          <w:lang w:val="fr-FR"/>
        </w:rPr>
      </w:pPr>
      <w:r w:rsidRPr="00B91CDC">
        <w:rPr>
          <w:rFonts w:ascii="Times New Roman" w:eastAsia="Times New Roman" w:hAnsi="Times New Roman" w:cs="Times New Roman"/>
          <w:color w:val="000000"/>
          <w:sz w:val="28"/>
          <w:szCs w:val="28"/>
          <w:lang w:val="fr-FR" w:eastAsia="ru-RU"/>
        </w:rPr>
        <w:t>1</w:t>
      </w:r>
      <w:r w:rsidR="007356C4" w:rsidRPr="00B91CDC">
        <w:rPr>
          <w:rFonts w:ascii="Times New Roman" w:eastAsia="Times New Roman" w:hAnsi="Times New Roman" w:cs="Times New Roman"/>
          <w:color w:val="000000"/>
          <w:sz w:val="28"/>
          <w:szCs w:val="28"/>
          <w:lang w:val="fr-FR" w:eastAsia="ru-RU"/>
        </w:rPr>
        <w:t>2</w:t>
      </w:r>
      <w:r w:rsidRPr="00B91CDC">
        <w:rPr>
          <w:rFonts w:ascii="Times New Roman" w:eastAsia="Times New Roman" w:hAnsi="Times New Roman" w:cs="Times New Roman"/>
          <w:color w:val="000000"/>
          <w:sz w:val="28"/>
          <w:szCs w:val="28"/>
          <w:lang w:val="fr-FR" w:eastAsia="ru-RU"/>
        </w:rPr>
        <w:t xml:space="preserve">. </w:t>
      </w:r>
      <w:r w:rsidR="000502DF" w:rsidRPr="00B91CDC">
        <w:rPr>
          <w:rFonts w:ascii="Times New Roman" w:eastAsia="Times New Roman" w:hAnsi="Times New Roman" w:cs="Times New Roman"/>
          <w:color w:val="000000"/>
          <w:sz w:val="28"/>
          <w:szCs w:val="28"/>
          <w:lang w:val="fr-FR" w:eastAsia="ru-RU"/>
        </w:rPr>
        <w:t xml:space="preserve">Le Programme des ressources phytogénétiques (PRPG) est géré par le Institute de conservation des bioresources  (BCI) du Centre national de recherche agricole. Le PRPG héberge la seule banque de gènes nationale du Pakistan pour la conservation des ressources phytogénétiques et possède des installations de recherche alliées, notamment le laboratoire d'exploration, le laboratoire de préservation des semences, le laboratoire de conservation </w:t>
      </w:r>
      <w:r w:rsidR="000502DF" w:rsidRPr="00B91CDC">
        <w:rPr>
          <w:rFonts w:ascii="Times New Roman" w:eastAsia="Times New Roman" w:hAnsi="Times New Roman" w:cs="Times New Roman"/>
          <w:i/>
          <w:iCs/>
          <w:color w:val="000000"/>
          <w:sz w:val="28"/>
          <w:szCs w:val="28"/>
          <w:lang w:val="fr-FR" w:eastAsia="ru-RU"/>
        </w:rPr>
        <w:t>in vitro</w:t>
      </w:r>
      <w:r w:rsidR="000502DF" w:rsidRPr="00B91CDC">
        <w:rPr>
          <w:rFonts w:ascii="Times New Roman" w:eastAsia="Times New Roman" w:hAnsi="Times New Roman" w:cs="Times New Roman"/>
          <w:color w:val="000000"/>
          <w:sz w:val="28"/>
          <w:szCs w:val="28"/>
          <w:lang w:val="fr-FR" w:eastAsia="ru-RU"/>
        </w:rPr>
        <w:t>, le laboratoire d'évaluation, le laboratoire d'introduction de plantes et le laboratoire de santé des semences et le laboratoire de gestion des données. L'institut dispose également de 06 serres, 15 cages d'isolement et une zone de terrain pour mener des expériences</w:t>
      </w:r>
      <w:r w:rsidR="00D77CAE" w:rsidRPr="00B91CDC">
        <w:rPr>
          <w:rFonts w:ascii="Times New Roman" w:hAnsi="Times New Roman" w:cs="Times New Roman"/>
          <w:sz w:val="28"/>
          <w:szCs w:val="28"/>
          <w:lang w:val="fr-FR"/>
        </w:rPr>
        <w:t>.</w:t>
      </w:r>
    </w:p>
    <w:p w14:paraId="031205FF" w14:textId="6D3B8F11" w:rsidR="00D77CAE" w:rsidRPr="00B91CDC" w:rsidRDefault="007356C4" w:rsidP="00E61C1D">
      <w:pPr>
        <w:spacing w:before="240" w:after="0" w:line="240" w:lineRule="auto"/>
        <w:jc w:val="both"/>
        <w:rPr>
          <w:rFonts w:ascii="Times New Roman" w:hAnsi="Times New Roman" w:cs="Times New Roman"/>
          <w:sz w:val="28"/>
          <w:szCs w:val="28"/>
          <w:lang w:val="fr-FR"/>
        </w:rPr>
      </w:pPr>
      <w:r w:rsidRPr="00B91CDC">
        <w:rPr>
          <w:rFonts w:ascii="Times New Roman" w:eastAsia="Times New Roman" w:hAnsi="Times New Roman" w:cs="Times New Roman"/>
          <w:color w:val="000000"/>
          <w:sz w:val="28"/>
          <w:szCs w:val="28"/>
          <w:lang w:val="fr-FR" w:eastAsia="ru-RU"/>
        </w:rPr>
        <w:t xml:space="preserve">13. </w:t>
      </w:r>
      <w:r w:rsidR="000502DF" w:rsidRPr="00B91CDC">
        <w:rPr>
          <w:rFonts w:ascii="Times New Roman" w:eastAsia="Times New Roman" w:hAnsi="Times New Roman" w:cs="Times New Roman"/>
          <w:color w:val="000000"/>
          <w:sz w:val="28"/>
          <w:szCs w:val="28"/>
          <w:lang w:val="fr-FR" w:eastAsia="ru-RU"/>
        </w:rPr>
        <w:t>Banque de gènes nationale du Pakistan : une belle collection de ressources phytogénétiques provenant de diverses écologies du Pakistan a été collectée par le biais de 130 missions d'expédition de collecte de matériel génétique. La banque de gènes conserve plus de 41 000 entrées de 400 espèces végétales. La banque de gènes fournit environ 12 000 entrées chaque année pour la recherche agricole. Depuis 1996 à ce jour, la banque de gènes a fourni plus de 210 000 adhésions à du matériel génétique pour la R&amp;D (recherche et developpment)</w:t>
      </w:r>
      <w:r w:rsidR="00D77CAE" w:rsidRPr="00B91CDC">
        <w:rPr>
          <w:rFonts w:ascii="Times New Roman" w:hAnsi="Times New Roman" w:cs="Times New Roman"/>
          <w:sz w:val="28"/>
          <w:szCs w:val="28"/>
          <w:lang w:val="fr-FR"/>
        </w:rPr>
        <w:t>.</w:t>
      </w:r>
    </w:p>
    <w:p w14:paraId="20EC7052" w14:textId="77777777" w:rsidR="00931CF7" w:rsidRPr="00B91CDC" w:rsidRDefault="00931CF7" w:rsidP="00E61C1D">
      <w:pPr>
        <w:spacing w:before="240" w:after="0" w:line="240" w:lineRule="auto"/>
        <w:jc w:val="both"/>
        <w:rPr>
          <w:rFonts w:ascii="Times New Roman" w:hAnsi="Times New Roman" w:cs="Times New Roman"/>
          <w:sz w:val="28"/>
          <w:szCs w:val="28"/>
          <w:lang w:val="fr-FR"/>
        </w:rPr>
      </w:pPr>
    </w:p>
    <w:p w14:paraId="761C2DD8" w14:textId="05AA136F" w:rsidR="00E61C1D" w:rsidRPr="00B91CDC" w:rsidRDefault="007356C4" w:rsidP="00931CF7">
      <w:pPr>
        <w:spacing w:after="0" w:line="240" w:lineRule="auto"/>
        <w:jc w:val="both"/>
        <w:rPr>
          <w:rFonts w:ascii="Times New Roman" w:hAnsi="Times New Roman" w:cs="Times New Roman"/>
          <w:sz w:val="28"/>
          <w:szCs w:val="28"/>
          <w:lang w:val="fr-FR"/>
        </w:rPr>
      </w:pPr>
      <w:r w:rsidRPr="00B91CDC">
        <w:rPr>
          <w:rFonts w:ascii="Times New Roman" w:eastAsia="Times New Roman" w:hAnsi="Times New Roman" w:cs="Times New Roman"/>
          <w:color w:val="000000"/>
          <w:sz w:val="28"/>
          <w:szCs w:val="28"/>
          <w:lang w:val="fr-FR" w:eastAsia="ru-RU"/>
        </w:rPr>
        <w:t xml:space="preserve">14. </w:t>
      </w:r>
      <w:r w:rsidR="000502DF" w:rsidRPr="00B91CDC">
        <w:rPr>
          <w:rFonts w:ascii="Times New Roman" w:eastAsia="Times New Roman" w:hAnsi="Times New Roman" w:cs="Times New Roman"/>
          <w:color w:val="000000"/>
          <w:sz w:val="28"/>
          <w:szCs w:val="28"/>
          <w:lang w:val="fr-FR" w:eastAsia="ru-RU"/>
        </w:rPr>
        <w:t>Laboratoire de gestion des données : les informations sur le matériel génétique des cultures conservées dans la banque de gènes sont compilées dans un système de base de données. Le système de gestion de l'information sur les ressources phytogénétiques comprend trois domaines principaux, notamment les données de passeport, les données de contrôle des stocks et les données d'évaluation</w:t>
      </w:r>
      <w:r w:rsidR="00D77CAE" w:rsidRPr="00B91CDC">
        <w:rPr>
          <w:rFonts w:ascii="Times New Roman" w:hAnsi="Times New Roman" w:cs="Times New Roman"/>
          <w:sz w:val="28"/>
          <w:szCs w:val="28"/>
          <w:lang w:val="fr-FR"/>
        </w:rPr>
        <w:t xml:space="preserve">. </w:t>
      </w:r>
    </w:p>
    <w:p w14:paraId="68B83DEC" w14:textId="77777777" w:rsidR="00931CF7" w:rsidRPr="00B91CDC" w:rsidRDefault="00931CF7" w:rsidP="00931CF7">
      <w:pPr>
        <w:spacing w:after="0" w:line="240" w:lineRule="auto"/>
        <w:jc w:val="both"/>
        <w:rPr>
          <w:rFonts w:ascii="Times New Roman" w:hAnsi="Times New Roman" w:cs="Times New Roman"/>
          <w:sz w:val="28"/>
          <w:szCs w:val="28"/>
          <w:lang w:val="fr-FR"/>
        </w:rPr>
      </w:pPr>
    </w:p>
    <w:p w14:paraId="1187D374" w14:textId="2BE00B16" w:rsidR="00DE6C5B" w:rsidRPr="00B91CDC" w:rsidRDefault="000502DF" w:rsidP="00931CF7">
      <w:pPr>
        <w:spacing w:after="0"/>
        <w:jc w:val="both"/>
        <w:rPr>
          <w:rFonts w:ascii="Times New Roman" w:hAnsi="Times New Roman" w:cs="Times New Roman"/>
          <w:iCs/>
          <w:sz w:val="28"/>
          <w:szCs w:val="28"/>
          <w:u w:val="single"/>
          <w:lang w:val="fr-FR"/>
        </w:rPr>
      </w:pPr>
      <w:r w:rsidRPr="00B91CDC">
        <w:rPr>
          <w:rFonts w:ascii="Times New Roman" w:hAnsi="Times New Roman" w:cs="Times New Roman"/>
          <w:iCs/>
          <w:sz w:val="28"/>
          <w:szCs w:val="28"/>
          <w:u w:val="single"/>
          <w:lang w:val="fr-FR"/>
        </w:rPr>
        <w:t>Pool génétique du coton de la République d'Ouzbékistan</w:t>
      </w:r>
      <w:r w:rsidR="00DE6C5B" w:rsidRPr="00B91CDC">
        <w:rPr>
          <w:rFonts w:ascii="Times New Roman" w:hAnsi="Times New Roman" w:cs="Times New Roman"/>
          <w:iCs/>
          <w:sz w:val="28"/>
          <w:szCs w:val="28"/>
          <w:u w:val="single"/>
          <w:lang w:val="fr-FR"/>
        </w:rPr>
        <w:t xml:space="preserve"> </w:t>
      </w:r>
    </w:p>
    <w:p w14:paraId="03510DA0" w14:textId="1CD761CB" w:rsidR="002C4C5E" w:rsidRPr="00B91CDC" w:rsidRDefault="00F318E5" w:rsidP="00E61C1D">
      <w:pPr>
        <w:spacing w:after="0"/>
        <w:jc w:val="both"/>
        <w:rPr>
          <w:rFonts w:ascii="Times New Roman" w:hAnsi="Times New Roman" w:cs="Times New Roman"/>
          <w:b/>
          <w:bCs/>
          <w:sz w:val="28"/>
          <w:szCs w:val="28"/>
          <w:lang w:val="fr-FR"/>
        </w:rPr>
      </w:pPr>
      <w:r w:rsidRPr="00B91CDC">
        <w:rPr>
          <w:rFonts w:ascii="Times New Roman" w:eastAsia="Times New Roman" w:hAnsi="Times New Roman" w:cs="Times New Roman"/>
          <w:color w:val="000000"/>
          <w:sz w:val="28"/>
          <w:szCs w:val="28"/>
          <w:lang w:val="fr-FR" w:eastAsia="ru-RU"/>
        </w:rPr>
        <w:t>1</w:t>
      </w:r>
      <w:r w:rsidR="007356C4" w:rsidRPr="00B91CDC">
        <w:rPr>
          <w:rFonts w:ascii="Times New Roman" w:eastAsia="Times New Roman" w:hAnsi="Times New Roman" w:cs="Times New Roman"/>
          <w:color w:val="000000"/>
          <w:sz w:val="28"/>
          <w:szCs w:val="28"/>
          <w:lang w:val="fr-FR" w:eastAsia="ru-RU"/>
        </w:rPr>
        <w:t>5</w:t>
      </w:r>
      <w:r w:rsidRPr="00B91CDC">
        <w:rPr>
          <w:rFonts w:ascii="Times New Roman" w:eastAsia="Times New Roman" w:hAnsi="Times New Roman" w:cs="Times New Roman"/>
          <w:color w:val="000000"/>
          <w:sz w:val="28"/>
          <w:szCs w:val="28"/>
          <w:lang w:val="fr-FR" w:eastAsia="ru-RU"/>
        </w:rPr>
        <w:t xml:space="preserve">. </w:t>
      </w:r>
      <w:r w:rsidR="000502DF" w:rsidRPr="00B91CDC">
        <w:rPr>
          <w:rFonts w:ascii="Times New Roman" w:eastAsia="Times New Roman" w:hAnsi="Times New Roman" w:cs="Times New Roman"/>
          <w:color w:val="000000"/>
          <w:sz w:val="28"/>
          <w:szCs w:val="28"/>
          <w:lang w:val="fr-FR" w:eastAsia="ru-RU"/>
        </w:rPr>
        <w:t>La collection du patrimoine génétique du coton de Institut de génétique et de biologie végétale expérimentale de l'Académie des sciences de la République d'Ouzbékistan (IG PEB AS RU), totalise actuellement plus de 9000 accessions cultivées de tous les pays cotonniers du monde, dont 40 (sur 50) représentants des espèces sauvages et de leurs variétés (issues des centres génétiques de leur origine) et plus de 1500 hybrides synthétiques uniques et sont les plus complets et les plus riches en diversité d'espèces sauvages de notre région et du monde</w:t>
      </w:r>
      <w:r w:rsidR="002C4C5E" w:rsidRPr="00B91CDC">
        <w:rPr>
          <w:rFonts w:ascii="Times New Roman" w:hAnsi="Times New Roman" w:cs="Times New Roman"/>
          <w:sz w:val="28"/>
          <w:szCs w:val="28"/>
          <w:lang w:val="fr-FR"/>
        </w:rPr>
        <w:t>.</w:t>
      </w:r>
    </w:p>
    <w:p w14:paraId="75D67E62" w14:textId="6DB74379" w:rsidR="00E61C1D" w:rsidRPr="00B91CDC" w:rsidRDefault="007356C4" w:rsidP="00931CF7">
      <w:p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 xml:space="preserve">16. </w:t>
      </w:r>
      <w:r w:rsidR="00F318E5" w:rsidRPr="00B91CDC">
        <w:rPr>
          <w:rFonts w:ascii="Times New Roman" w:hAnsi="Times New Roman" w:cs="Times New Roman"/>
          <w:sz w:val="28"/>
          <w:szCs w:val="28"/>
          <w:lang w:val="fr-FR"/>
        </w:rPr>
        <w:t>Bien que le pays ne soit pas le berceau du coton, les centres d'origine et de croissance de ses parents sauvages sont situés dans les régions tropicales et subtropicales des cinq continents, jusqu'à présent (plus de 65 ans), il a été possible de collecter un gène unique bassin de la diversité biogénétique du coton. Il est enregistré par le Comité international de la FAO «UNESCO» auprès des Nations Unies comme l'un des plus divers et des plus précieux pour notre région</w:t>
      </w:r>
      <w:r w:rsidR="00DE6C5B" w:rsidRPr="00B91CDC">
        <w:rPr>
          <w:rFonts w:ascii="Times New Roman" w:hAnsi="Times New Roman" w:cs="Times New Roman"/>
          <w:sz w:val="28"/>
          <w:szCs w:val="28"/>
          <w:lang w:val="fr-FR"/>
        </w:rPr>
        <w:t>.</w:t>
      </w:r>
    </w:p>
    <w:p w14:paraId="2AA45FFC" w14:textId="77777777" w:rsidR="00931CF7" w:rsidRPr="00B91CDC" w:rsidRDefault="00931CF7" w:rsidP="00931CF7">
      <w:pPr>
        <w:spacing w:after="0"/>
        <w:jc w:val="both"/>
        <w:rPr>
          <w:rFonts w:ascii="Times New Roman" w:hAnsi="Times New Roman" w:cs="Times New Roman"/>
          <w:sz w:val="28"/>
          <w:szCs w:val="28"/>
          <w:lang w:val="fr-FR"/>
        </w:rPr>
      </w:pPr>
    </w:p>
    <w:p w14:paraId="4BBC8C0E" w14:textId="5A3C0284" w:rsidR="002D327B" w:rsidRPr="00B91CDC" w:rsidRDefault="00842204" w:rsidP="00931CF7">
      <w:pPr>
        <w:spacing w:after="0"/>
        <w:jc w:val="both"/>
        <w:rPr>
          <w:rFonts w:ascii="Times New Roman" w:hAnsi="Times New Roman" w:cs="Times New Roman"/>
          <w:b/>
          <w:bCs/>
          <w:sz w:val="28"/>
          <w:szCs w:val="28"/>
          <w:u w:val="single"/>
          <w:lang w:val="fr-FR"/>
        </w:rPr>
      </w:pPr>
      <w:r w:rsidRPr="00B91CDC">
        <w:rPr>
          <w:rFonts w:ascii="Times New Roman" w:hAnsi="Times New Roman" w:cs="Times New Roman"/>
          <w:sz w:val="28"/>
          <w:szCs w:val="28"/>
          <w:u w:val="single"/>
          <w:lang w:val="fr-FR"/>
        </w:rPr>
        <w:lastRenderedPageBreak/>
        <w:t>Expériences nationales de l'Égypte sur Gene Bank</w:t>
      </w:r>
      <w:r w:rsidR="002D327B" w:rsidRPr="00B91CDC">
        <w:rPr>
          <w:rFonts w:ascii="Times New Roman" w:hAnsi="Times New Roman" w:cs="Times New Roman"/>
          <w:sz w:val="28"/>
          <w:szCs w:val="28"/>
          <w:u w:val="single"/>
          <w:lang w:val="fr-FR"/>
        </w:rPr>
        <w:t xml:space="preserve"> </w:t>
      </w:r>
    </w:p>
    <w:p w14:paraId="39DB010C" w14:textId="1CAA5204" w:rsidR="002C4C5E" w:rsidRPr="00B91CDC" w:rsidRDefault="00F318E5" w:rsidP="00E61C1D">
      <w:pPr>
        <w:spacing w:after="0" w:line="240" w:lineRule="auto"/>
        <w:jc w:val="both"/>
        <w:rPr>
          <w:rFonts w:ascii="Times New Roman" w:hAnsi="Times New Roman" w:cs="Times New Roman"/>
          <w:sz w:val="28"/>
          <w:szCs w:val="28"/>
          <w:lang w:val="fr-FR"/>
        </w:rPr>
      </w:pPr>
      <w:r w:rsidRPr="00B91CDC">
        <w:rPr>
          <w:rFonts w:ascii="Times New Roman" w:eastAsia="Times New Roman" w:hAnsi="Times New Roman" w:cs="Times New Roman"/>
          <w:color w:val="000000"/>
          <w:sz w:val="28"/>
          <w:szCs w:val="28"/>
          <w:lang w:val="fr-FR" w:eastAsia="ru-RU"/>
        </w:rPr>
        <w:t>1</w:t>
      </w:r>
      <w:r w:rsidR="007356C4" w:rsidRPr="00B91CDC">
        <w:rPr>
          <w:rFonts w:ascii="Times New Roman" w:eastAsia="Times New Roman" w:hAnsi="Times New Roman" w:cs="Times New Roman"/>
          <w:color w:val="000000"/>
          <w:sz w:val="28"/>
          <w:szCs w:val="28"/>
          <w:lang w:val="fr-FR" w:eastAsia="ru-RU"/>
        </w:rPr>
        <w:t>7</w:t>
      </w:r>
      <w:r w:rsidRPr="00B91CDC">
        <w:rPr>
          <w:rFonts w:ascii="Times New Roman" w:eastAsia="Times New Roman" w:hAnsi="Times New Roman" w:cs="Times New Roman"/>
          <w:color w:val="000000"/>
          <w:sz w:val="28"/>
          <w:szCs w:val="28"/>
          <w:lang w:val="fr-FR" w:eastAsia="ru-RU"/>
        </w:rPr>
        <w:t xml:space="preserve">. </w:t>
      </w:r>
      <w:r w:rsidR="00842204" w:rsidRPr="00B91CDC">
        <w:rPr>
          <w:rFonts w:ascii="Times New Roman" w:eastAsia="Times New Roman" w:hAnsi="Times New Roman" w:cs="Times New Roman"/>
          <w:color w:val="000000"/>
          <w:sz w:val="28"/>
          <w:szCs w:val="28"/>
          <w:lang w:val="fr-FR" w:eastAsia="ru-RU"/>
        </w:rPr>
        <w:t>La Banque nationale égyptienne de gènes représente l'Égypte auprès de l'ICARDA et de l'Institut international des ressources phytogénétiques (IPGRI). L'Égypte met en œuvre le Traité international sur les ressources phytogénétiques pour l'alimentation et l'agriculture (RPGAA) pour 35 cultures et 29 aliments pour animaux et garantit la conservation et l'utilisation durables des RPGAA et le partage juste et équitable des avantages qui en découlent</w:t>
      </w:r>
      <w:r w:rsidR="002D327B" w:rsidRPr="00B91CDC">
        <w:rPr>
          <w:rFonts w:ascii="Times New Roman" w:hAnsi="Times New Roman" w:cs="Times New Roman"/>
          <w:sz w:val="28"/>
          <w:szCs w:val="28"/>
          <w:lang w:val="fr-FR"/>
        </w:rPr>
        <w:t>.</w:t>
      </w:r>
    </w:p>
    <w:p w14:paraId="11191C37" w14:textId="66A18D60" w:rsidR="002D327B" w:rsidRPr="00B91CDC" w:rsidRDefault="00842204" w:rsidP="00E61C1D">
      <w:pPr>
        <w:spacing w:before="240" w:after="0"/>
        <w:jc w:val="both"/>
        <w:rPr>
          <w:rFonts w:ascii="Times New Roman" w:hAnsi="Times New Roman" w:cs="Times New Roman"/>
          <w:sz w:val="28"/>
          <w:szCs w:val="28"/>
          <w:lang w:val="fr-FR"/>
        </w:rPr>
      </w:pPr>
      <w:r w:rsidRPr="00B91CDC">
        <w:rPr>
          <w:rFonts w:ascii="Times New Roman" w:eastAsia="Times New Roman" w:hAnsi="Times New Roman" w:cs="Times New Roman"/>
          <w:color w:val="000000"/>
          <w:sz w:val="28"/>
          <w:szCs w:val="28"/>
          <w:lang w:val="fr-FR" w:eastAsia="ru-RU"/>
        </w:rPr>
        <w:t>La Banque nationale égyptienne de gènes est chargée de la collecte des ressources génétiques végétales et animales, de sa caractérisation, de sa régénération, de son entretien, de son évaluation, de sa conservation et de sa certification dans le secteur agricole</w:t>
      </w:r>
      <w:r w:rsidR="002D327B" w:rsidRPr="00B91CDC">
        <w:rPr>
          <w:rFonts w:ascii="Times New Roman" w:hAnsi="Times New Roman" w:cs="Times New Roman"/>
          <w:sz w:val="28"/>
          <w:szCs w:val="28"/>
          <w:lang w:val="fr-FR"/>
        </w:rPr>
        <w:t xml:space="preserve">. </w:t>
      </w:r>
    </w:p>
    <w:p w14:paraId="030E8FD2" w14:textId="3B914125" w:rsidR="002D327B" w:rsidRPr="00B91CDC" w:rsidRDefault="007356C4" w:rsidP="00E61C1D">
      <w:pPr>
        <w:spacing w:before="240" w:after="0"/>
        <w:jc w:val="both"/>
        <w:rPr>
          <w:rFonts w:ascii="Times New Roman" w:hAnsi="Times New Roman" w:cs="Times New Roman"/>
          <w:sz w:val="28"/>
          <w:szCs w:val="28"/>
          <w:lang w:val="fr-FR"/>
        </w:rPr>
      </w:pPr>
      <w:r w:rsidRPr="00B91CDC">
        <w:rPr>
          <w:rFonts w:ascii="Times New Roman" w:eastAsia="Times New Roman" w:hAnsi="Times New Roman" w:cs="Times New Roman"/>
          <w:color w:val="000000"/>
          <w:sz w:val="28"/>
          <w:szCs w:val="28"/>
          <w:lang w:val="fr-FR" w:eastAsia="ru-RU"/>
        </w:rPr>
        <w:t xml:space="preserve">18. </w:t>
      </w:r>
      <w:r w:rsidR="00842204" w:rsidRPr="00B91CDC">
        <w:rPr>
          <w:rFonts w:ascii="Times New Roman" w:eastAsia="Times New Roman" w:hAnsi="Times New Roman" w:cs="Times New Roman"/>
          <w:color w:val="000000"/>
          <w:sz w:val="28"/>
          <w:szCs w:val="28"/>
          <w:lang w:val="fr-FR" w:eastAsia="ru-RU"/>
        </w:rPr>
        <w:t>La Banque nationale égyptienne de gènes a été créée avec la responsabilité de conserver : les espèces sauvages cultivées, les variétés paysannes et les animaux de ferme. Comme ses principales priorités, la Banque nationale égyptienne de gènes se concentre sur la conservation des ressources génétiques nationales et les rend disponibles pour le développement agricole durable sans affecter la diversité biologique et la sûreté biologique</w:t>
      </w:r>
      <w:r w:rsidR="002D327B" w:rsidRPr="00B91CDC">
        <w:rPr>
          <w:rFonts w:ascii="Times New Roman" w:hAnsi="Times New Roman" w:cs="Times New Roman"/>
          <w:sz w:val="28"/>
          <w:szCs w:val="28"/>
          <w:lang w:val="fr-FR"/>
        </w:rPr>
        <w:t>.</w:t>
      </w:r>
    </w:p>
    <w:p w14:paraId="2FD3F026" w14:textId="77777777" w:rsidR="00EC3E58" w:rsidRPr="00B91CDC" w:rsidRDefault="00EC3E58" w:rsidP="00E61C1D">
      <w:pPr>
        <w:spacing w:after="0"/>
        <w:jc w:val="both"/>
        <w:rPr>
          <w:rFonts w:ascii="Times New Roman" w:hAnsi="Times New Roman" w:cs="Times New Roman"/>
          <w:b/>
          <w:bCs/>
          <w:sz w:val="28"/>
          <w:szCs w:val="28"/>
          <w:lang w:val="en-US"/>
        </w:rPr>
      </w:pPr>
    </w:p>
    <w:p w14:paraId="5AF447CF" w14:textId="42D2FF74" w:rsidR="00170AB2" w:rsidRPr="00B91CDC" w:rsidRDefault="00F318E5" w:rsidP="00E61C1D">
      <w:pPr>
        <w:spacing w:after="0"/>
        <w:jc w:val="both"/>
        <w:rPr>
          <w:rFonts w:ascii="Times New Roman" w:hAnsi="Times New Roman" w:cs="Times New Roman"/>
          <w:b/>
          <w:bCs/>
          <w:sz w:val="28"/>
          <w:szCs w:val="28"/>
          <w:lang w:val="en-US"/>
        </w:rPr>
      </w:pPr>
      <w:proofErr w:type="spellStart"/>
      <w:r w:rsidRPr="00B91CDC">
        <w:rPr>
          <w:rFonts w:ascii="Times New Roman" w:hAnsi="Times New Roman" w:cs="Times New Roman"/>
          <w:b/>
          <w:bCs/>
          <w:sz w:val="28"/>
          <w:szCs w:val="28"/>
          <w:lang w:val="en-US"/>
        </w:rPr>
        <w:t>Recommandations</w:t>
      </w:r>
      <w:proofErr w:type="spellEnd"/>
      <w:r w:rsidRPr="00B91CDC">
        <w:rPr>
          <w:rFonts w:ascii="Times New Roman" w:hAnsi="Times New Roman" w:cs="Times New Roman"/>
          <w:b/>
          <w:bCs/>
          <w:sz w:val="28"/>
          <w:szCs w:val="28"/>
          <w:lang w:val="en-US"/>
        </w:rPr>
        <w:t xml:space="preserve"> de </w:t>
      </w:r>
      <w:proofErr w:type="spellStart"/>
      <w:r w:rsidRPr="00B91CDC">
        <w:rPr>
          <w:rFonts w:ascii="Times New Roman" w:hAnsi="Times New Roman" w:cs="Times New Roman"/>
          <w:b/>
          <w:bCs/>
          <w:sz w:val="28"/>
          <w:szCs w:val="28"/>
          <w:lang w:val="en-US"/>
        </w:rPr>
        <w:t>l'Atelier</w:t>
      </w:r>
      <w:proofErr w:type="spellEnd"/>
      <w:r w:rsidR="009B1084" w:rsidRPr="00B91CDC">
        <w:rPr>
          <w:rFonts w:ascii="Times New Roman" w:hAnsi="Times New Roman" w:cs="Times New Roman"/>
          <w:b/>
          <w:bCs/>
          <w:sz w:val="28"/>
          <w:szCs w:val="28"/>
          <w:lang w:val="en-US"/>
        </w:rPr>
        <w:t>:</w:t>
      </w:r>
    </w:p>
    <w:p w14:paraId="048F9A75" w14:textId="2A7490DC" w:rsidR="00F318E5" w:rsidRPr="00B91CDC" w:rsidRDefault="00F318E5" w:rsidP="00931CF7">
      <w:pPr>
        <w:spacing w:after="0" w:line="240" w:lineRule="auto"/>
        <w:contextualSpacing/>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1</w:t>
      </w:r>
      <w:r w:rsidR="007356C4" w:rsidRPr="00B91CDC">
        <w:rPr>
          <w:rFonts w:ascii="Times New Roman" w:hAnsi="Times New Roman" w:cs="Times New Roman"/>
          <w:sz w:val="28"/>
          <w:szCs w:val="28"/>
          <w:lang w:val="fr-FR"/>
        </w:rPr>
        <w:t>9</w:t>
      </w:r>
      <w:r w:rsidRPr="00B91CDC">
        <w:rPr>
          <w:rFonts w:ascii="Times New Roman" w:hAnsi="Times New Roman" w:cs="Times New Roman"/>
          <w:sz w:val="28"/>
          <w:szCs w:val="28"/>
          <w:lang w:val="fr-FR"/>
        </w:rPr>
        <w:t>. Les recommandations d'experts des États membres participés à l'Atelier sont suivantes :</w:t>
      </w:r>
    </w:p>
    <w:p w14:paraId="03D267B4" w14:textId="3ADC4DFA" w:rsidR="009B1084" w:rsidRPr="00B91CDC" w:rsidRDefault="00842204" w:rsidP="00931CF7">
      <w:pPr>
        <w:pStyle w:val="a3"/>
        <w:numPr>
          <w:ilvl w:val="0"/>
          <w:numId w:val="18"/>
        </w:numPr>
        <w:spacing w:before="240" w:after="0" w:line="240" w:lineRule="auto"/>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Intensifier la collaboration intra-OCI à travers l'échange de recherches, le partage du savoir-faire et des meilleures pratiques en matière d'acquisition, de conservation et d'échange de ressources génétiques pour l'alimentation et l'agriculture</w:t>
      </w:r>
      <w:r w:rsidR="009B1084" w:rsidRPr="00B91CDC">
        <w:rPr>
          <w:rFonts w:ascii="Times New Roman" w:hAnsi="Times New Roman" w:cs="Times New Roman"/>
          <w:sz w:val="28"/>
          <w:szCs w:val="28"/>
          <w:lang w:val="fr-FR"/>
        </w:rPr>
        <w:t>;</w:t>
      </w:r>
    </w:p>
    <w:p w14:paraId="1F728231" w14:textId="30E45D7F" w:rsidR="009B1084" w:rsidRPr="00B91CDC" w:rsidRDefault="00842204" w:rsidP="00E61C1D">
      <w:pPr>
        <w:pStyle w:val="a3"/>
        <w:numPr>
          <w:ilvl w:val="0"/>
          <w:numId w:val="18"/>
        </w:numPr>
        <w:spacing w:before="240"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Aider les États membres à mettre à jour les rapports nationaux sur les ressources génétiques végétales et animales, y compris des campagnes de sensibilisation auprès des établissements des secteurs local, communautaire et privé et la mise à niveau des actifs nationaux sur la conservation et le partage des ressources génétiques pour l'alimentation et l'agriculture</w:t>
      </w:r>
      <w:r w:rsidR="009B1084" w:rsidRPr="00B91CDC">
        <w:rPr>
          <w:rFonts w:ascii="Times New Roman" w:hAnsi="Times New Roman" w:cs="Times New Roman"/>
          <w:sz w:val="28"/>
          <w:szCs w:val="28"/>
          <w:lang w:val="fr-FR"/>
        </w:rPr>
        <w:t>;</w:t>
      </w:r>
    </w:p>
    <w:p w14:paraId="06F951B8" w14:textId="187BC179" w:rsidR="009B1084" w:rsidRPr="00B91CDC" w:rsidRDefault="00A869E8" w:rsidP="00E61C1D">
      <w:pPr>
        <w:pStyle w:val="a3"/>
        <w:numPr>
          <w:ilvl w:val="0"/>
          <w:numId w:val="18"/>
        </w:numPr>
        <w:spacing w:before="240"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Augmentation des actifs nationaux en matière de conservation et de partage des ressources génétiques pour l'alimentation et l'agriculture</w:t>
      </w:r>
      <w:r w:rsidR="009B1084" w:rsidRPr="00B91CDC">
        <w:rPr>
          <w:rFonts w:ascii="Times New Roman" w:hAnsi="Times New Roman" w:cs="Times New Roman"/>
          <w:sz w:val="28"/>
          <w:szCs w:val="28"/>
          <w:lang w:val="fr-FR"/>
        </w:rPr>
        <w:t>;</w:t>
      </w:r>
    </w:p>
    <w:p w14:paraId="1C5A64D8" w14:textId="45218F6D" w:rsidR="009B1084" w:rsidRPr="00B91CDC" w:rsidRDefault="00A869E8" w:rsidP="00E61C1D">
      <w:pPr>
        <w:pStyle w:val="a3"/>
        <w:numPr>
          <w:ilvl w:val="0"/>
          <w:numId w:val="18"/>
        </w:numPr>
        <w:spacing w:before="240"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Désigner les Centres d'Excellence régionaux ou intégrés sur les RGVAAA dans la région de l'OCI</w:t>
      </w:r>
      <w:r w:rsidR="009B1084" w:rsidRPr="00B91CDC">
        <w:rPr>
          <w:rFonts w:ascii="Times New Roman" w:hAnsi="Times New Roman" w:cs="Times New Roman"/>
          <w:sz w:val="28"/>
          <w:szCs w:val="28"/>
          <w:lang w:val="fr-FR"/>
        </w:rPr>
        <w:t>;</w:t>
      </w:r>
    </w:p>
    <w:p w14:paraId="52DB7D9F" w14:textId="3D56FE76" w:rsidR="009B1084" w:rsidRPr="00B91CDC" w:rsidRDefault="00A869E8" w:rsidP="00E61C1D">
      <w:pPr>
        <w:pStyle w:val="a3"/>
        <w:numPr>
          <w:ilvl w:val="0"/>
          <w:numId w:val="18"/>
        </w:num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Établir une structure pour soutenir l'adhésion aux traités internationaux sur la biodiversité et les RGVAAA, et coordonner la participation à toutes les conférences internationales connexes, y compris les négociations en cours sur le Protocole de Nagoya (2014), visant à renforcer ses dispositions sur l'accès et le partage des avantages (APA), les connaissances traditionnelles associées aux obligations RGV et reliant l'APA aux données numériques</w:t>
      </w:r>
      <w:r w:rsidR="009B1084" w:rsidRPr="00B91CDC">
        <w:rPr>
          <w:rFonts w:ascii="Times New Roman" w:hAnsi="Times New Roman" w:cs="Times New Roman"/>
          <w:sz w:val="28"/>
          <w:szCs w:val="28"/>
          <w:lang w:val="fr-FR"/>
        </w:rPr>
        <w:t>;</w:t>
      </w:r>
    </w:p>
    <w:p w14:paraId="496F1DB8" w14:textId="6C9F0104" w:rsidR="009B1084" w:rsidRPr="00B91CDC" w:rsidRDefault="00A869E8" w:rsidP="00E61C1D">
      <w:pPr>
        <w:pStyle w:val="a3"/>
        <w:numPr>
          <w:ilvl w:val="0"/>
          <w:numId w:val="18"/>
        </w:numPr>
        <w:spacing w:before="240"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 xml:space="preserve">Créer un comité technique, comprenant les États membres, le secteur privé, les banques de gènes nationales et les parties prenantes connexes pour </w:t>
      </w:r>
      <w:r w:rsidRPr="00B91CDC">
        <w:rPr>
          <w:rFonts w:ascii="Times New Roman" w:hAnsi="Times New Roman" w:cs="Times New Roman"/>
          <w:sz w:val="28"/>
          <w:szCs w:val="28"/>
          <w:lang w:val="fr-FR"/>
        </w:rPr>
        <w:lastRenderedPageBreak/>
        <w:t>superviser la mise en œuvre du cadre d'action de coopération approuvé sur le RGVAAA</w:t>
      </w:r>
      <w:r w:rsidR="009B1084" w:rsidRPr="00B91CDC">
        <w:rPr>
          <w:rFonts w:ascii="Times New Roman" w:hAnsi="Times New Roman" w:cs="Times New Roman"/>
          <w:sz w:val="28"/>
          <w:szCs w:val="28"/>
          <w:lang w:val="fr-FR"/>
        </w:rPr>
        <w:t>;</w:t>
      </w:r>
    </w:p>
    <w:p w14:paraId="4CC44967" w14:textId="06AEF80B" w:rsidR="009B1084" w:rsidRPr="00B91CDC" w:rsidRDefault="00896CFE" w:rsidP="00E61C1D">
      <w:pPr>
        <w:pStyle w:val="a3"/>
        <w:numPr>
          <w:ilvl w:val="0"/>
          <w:numId w:val="18"/>
        </w:num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Le secteur public devrait allouer plus de ressources aux banques de gènes et développer un partenariat avec le secteur privé pour améliorer la conservation et l'utilisation des ressources pour la postérité</w:t>
      </w:r>
      <w:r w:rsidR="009B1084" w:rsidRPr="00B91CDC">
        <w:rPr>
          <w:rFonts w:ascii="Times New Roman" w:hAnsi="Times New Roman" w:cs="Times New Roman"/>
          <w:sz w:val="28"/>
          <w:szCs w:val="28"/>
          <w:lang w:val="fr-FR"/>
        </w:rPr>
        <w:t>;</w:t>
      </w:r>
    </w:p>
    <w:p w14:paraId="2140BFDF" w14:textId="721BDA06" w:rsidR="009B1084" w:rsidRPr="00B91CDC" w:rsidRDefault="003A3842" w:rsidP="00E61C1D">
      <w:pPr>
        <w:pStyle w:val="a3"/>
        <w:numPr>
          <w:ilvl w:val="0"/>
          <w:numId w:val="18"/>
        </w:numPr>
        <w:spacing w:before="240"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Etablir d'une Semences et d’un Gène Wakf (Fonds de dotation) tenant compte de l'attrait spirituel et culturel des activités de la banque de gènes en ce qui concerne le bien-être des générations futures, pour financer le développement des variétés de semences et des ressources génétiques végétales et animales, y compris le développement des infrastructures appropriées au les niveaux nationaux ou intra-OCI qui devraient être explorés</w:t>
      </w:r>
      <w:r w:rsidR="009B1084" w:rsidRPr="00B91CDC">
        <w:rPr>
          <w:rFonts w:ascii="Times New Roman" w:hAnsi="Times New Roman" w:cs="Times New Roman"/>
          <w:sz w:val="28"/>
          <w:szCs w:val="28"/>
          <w:lang w:val="fr-FR"/>
        </w:rPr>
        <w:t>;</w:t>
      </w:r>
    </w:p>
    <w:p w14:paraId="4C0DA47B" w14:textId="625F274A" w:rsidR="009B1084" w:rsidRPr="00B91CDC" w:rsidRDefault="003A3842" w:rsidP="00E61C1D">
      <w:pPr>
        <w:pStyle w:val="a3"/>
        <w:numPr>
          <w:ilvl w:val="0"/>
          <w:numId w:val="18"/>
        </w:numPr>
        <w:spacing w:before="240"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Les gouvernements doivent comprendre le rôle et l'importance des banques de gènes nationales pour la sécurité alimentaire, afin d'allouer les ressources humaines, le financement et l'adoption de lois, de lois et de traités relatifs aux ressources génétiques, etc. À cet égard, il faudrait tenir compte les droits des obtenteurs et des sociétés semencières, les droits des agriculteurs et des sociétés semencières locales devraient être protégés</w:t>
      </w:r>
      <w:r w:rsidR="009B1084" w:rsidRPr="00B91CDC">
        <w:rPr>
          <w:rFonts w:ascii="Times New Roman" w:hAnsi="Times New Roman" w:cs="Times New Roman"/>
          <w:sz w:val="28"/>
          <w:szCs w:val="28"/>
          <w:lang w:val="fr-FR"/>
        </w:rPr>
        <w:t>;</w:t>
      </w:r>
    </w:p>
    <w:p w14:paraId="426BCDB0" w14:textId="57EF1116" w:rsidR="009B1084" w:rsidRPr="00B91CDC" w:rsidRDefault="003A3842" w:rsidP="00E61C1D">
      <w:pPr>
        <w:pStyle w:val="a3"/>
        <w:numPr>
          <w:ilvl w:val="0"/>
          <w:numId w:val="18"/>
        </w:numPr>
        <w:spacing w:before="240"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Renforcer la recherche sur les ressources phytogénétiques et la sélection végétale dans le secteur public. En conséquence, la mise en place du programme de conservation des ressources génétiques et des banques nationales de gènes (BNG) devrait être approuvée, après une étude appropriée de la biodiversité du pays, une étude des registres de la flore / des herbiers, une évaluation des quantités de semences bancables, une évaluation des risques et une description des PON et une intégration dans la gestion des ressources phytogénétiques fonctionnelles (RPG) pour la sécurité alimentaire via l'utilisation des RPG pour l'amélioration des cultures</w:t>
      </w:r>
      <w:r w:rsidR="009B1084" w:rsidRPr="00B91CDC">
        <w:rPr>
          <w:rFonts w:ascii="Times New Roman" w:hAnsi="Times New Roman" w:cs="Times New Roman"/>
          <w:sz w:val="28"/>
          <w:szCs w:val="28"/>
          <w:lang w:val="fr-FR"/>
        </w:rPr>
        <w:t>;</w:t>
      </w:r>
    </w:p>
    <w:p w14:paraId="63FD3211" w14:textId="31CCE59A" w:rsidR="009B1084" w:rsidRPr="00B91CDC" w:rsidRDefault="003A3842" w:rsidP="00E61C1D">
      <w:pPr>
        <w:pStyle w:val="a3"/>
        <w:numPr>
          <w:ilvl w:val="0"/>
          <w:numId w:val="18"/>
        </w:numPr>
        <w:spacing w:before="240"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Encourager le financement des propositions de projets pour la création, le renforcement des capacités et la mise à niveau des banques nationales de gènes des pays membres de l'OCI par les institutions de financement de l'OCI</w:t>
      </w:r>
      <w:r w:rsidR="00DB2619" w:rsidRPr="00B91CDC">
        <w:rPr>
          <w:rFonts w:ascii="Times New Roman" w:hAnsi="Times New Roman" w:cs="Times New Roman"/>
          <w:sz w:val="28"/>
          <w:szCs w:val="28"/>
          <w:lang w:val="fr-FR"/>
        </w:rPr>
        <w:t>;</w:t>
      </w:r>
      <w:r w:rsidR="009B1084" w:rsidRPr="00B91CDC">
        <w:rPr>
          <w:rFonts w:ascii="Times New Roman" w:hAnsi="Times New Roman" w:cs="Times New Roman"/>
          <w:sz w:val="28"/>
          <w:szCs w:val="28"/>
          <w:lang w:val="fr-FR"/>
        </w:rPr>
        <w:t xml:space="preserve">  </w:t>
      </w:r>
    </w:p>
    <w:p w14:paraId="0376AF30" w14:textId="6267B0F9" w:rsidR="009B1084" w:rsidRPr="00B91CDC" w:rsidRDefault="003A3842" w:rsidP="00E61C1D">
      <w:pPr>
        <w:pStyle w:val="a3"/>
        <w:numPr>
          <w:ilvl w:val="0"/>
          <w:numId w:val="18"/>
        </w:num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Soutenir les consortiums de pays et d'institutions (projets multinationaux de ressources phytogénétiques) pour faire progresser l'utilisation de nouvelles technologies de conservation et de sélection (y compris les techniques moléculaires) qui s'appuient sur de solides banques de gènes nationales ou régionales. Cela comprend la mise en relation effective des pays qui ont des banques de gènes solides et modernes avec d'autres pays moins dotés. À cet égard, les institutions de l'OCI (par exemple, COMSTECH), les centres de recherche agricole régionaux et internationaux (par exemple, ICBA, ICARDA) peuvent jouer un rôle important dans la mise en réseau et la construction de consortiums aussi solides</w:t>
      </w:r>
      <w:r w:rsidR="009B1084" w:rsidRPr="00B91CDC">
        <w:rPr>
          <w:rFonts w:ascii="Times New Roman" w:hAnsi="Times New Roman" w:cs="Times New Roman"/>
          <w:sz w:val="28"/>
          <w:szCs w:val="28"/>
          <w:lang w:val="fr-FR"/>
        </w:rPr>
        <w:t xml:space="preserve">; </w:t>
      </w:r>
    </w:p>
    <w:p w14:paraId="7B2B8552" w14:textId="4B27B1E5" w:rsidR="009B1084" w:rsidRPr="00B91CDC" w:rsidRDefault="003A3842" w:rsidP="00E61C1D">
      <w:pPr>
        <w:pStyle w:val="a3"/>
        <w:numPr>
          <w:ilvl w:val="0"/>
          <w:numId w:val="18"/>
        </w:num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 xml:space="preserve">Considérer les petits exploitants comme bénéficiant des activités des banques de gènes grâce à l'augmentation des semences améliorées, ce qui est essentiel pour accroître la productivité agricole et la sécurité alimentaire et nutritionnelle. Cela nécessite d'améliorer les systèmes semenciers dans les </w:t>
      </w:r>
      <w:r w:rsidRPr="00B91CDC">
        <w:rPr>
          <w:rFonts w:ascii="Times New Roman" w:hAnsi="Times New Roman" w:cs="Times New Roman"/>
          <w:sz w:val="28"/>
          <w:szCs w:val="28"/>
          <w:lang w:val="fr-FR"/>
        </w:rPr>
        <w:lastRenderedPageBreak/>
        <w:t>pays, et en particulier de renforcer l'engagement du secteur privé qui est nécessaire pour la durabilité</w:t>
      </w:r>
      <w:r w:rsidR="009B1084" w:rsidRPr="00B91CDC">
        <w:rPr>
          <w:rFonts w:ascii="Times New Roman" w:hAnsi="Times New Roman" w:cs="Times New Roman"/>
          <w:sz w:val="28"/>
          <w:szCs w:val="28"/>
          <w:lang w:val="fr-FR"/>
        </w:rPr>
        <w:t xml:space="preserve">; </w:t>
      </w:r>
      <w:r w:rsidRPr="00B91CDC">
        <w:rPr>
          <w:rFonts w:ascii="Times New Roman" w:hAnsi="Times New Roman" w:cs="Times New Roman"/>
          <w:sz w:val="28"/>
          <w:szCs w:val="28"/>
          <w:lang w:val="fr-FR"/>
        </w:rPr>
        <w:t>et</w:t>
      </w:r>
    </w:p>
    <w:p w14:paraId="4FA6A688" w14:textId="3F549662" w:rsidR="009B1084" w:rsidRPr="00B91CDC" w:rsidRDefault="003A3842" w:rsidP="00E61C1D">
      <w:pPr>
        <w:pStyle w:val="a3"/>
        <w:numPr>
          <w:ilvl w:val="0"/>
          <w:numId w:val="18"/>
        </w:num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Etablir des partenariats entre les banques de gènes nationales et les centres de semences avec des centres internationaux de recherche et de développement (par exemple, avec les centres du CGIAR) pour favoriser l'échange rapide de matériel génétique (éliminer les goulots d'étranglement), la mobilisation des ressources, le plaidoyer et la sensibilisation pour stimuler l'utilisation, le développement humain et institutionnel. Pour que les programmes nationaux bénéficient efficacement de ce partenariat, ils doivent disposer des capacités humaines nécessaires. Ces partenariats devraient donc inclure des éléments de renforcement des capacités et de rétention dans leurs activités</w:t>
      </w:r>
      <w:r w:rsidR="00DF3631" w:rsidRPr="00B91CDC">
        <w:rPr>
          <w:rFonts w:ascii="Times New Roman" w:hAnsi="Times New Roman" w:cs="Times New Roman"/>
          <w:sz w:val="28"/>
          <w:szCs w:val="28"/>
          <w:lang w:val="fr-FR"/>
        </w:rPr>
        <w:t>.</w:t>
      </w:r>
    </w:p>
    <w:p w14:paraId="438F237B" w14:textId="77777777" w:rsidR="00EC3E58" w:rsidRPr="00B91CDC" w:rsidRDefault="00EC3E58" w:rsidP="00E61C1D">
      <w:pPr>
        <w:pStyle w:val="a3"/>
        <w:spacing w:after="0"/>
        <w:jc w:val="both"/>
        <w:rPr>
          <w:rFonts w:ascii="Times New Roman" w:hAnsi="Times New Roman" w:cs="Times New Roman"/>
          <w:sz w:val="28"/>
          <w:szCs w:val="28"/>
          <w:lang w:val="fr-FR"/>
        </w:rPr>
      </w:pPr>
    </w:p>
    <w:p w14:paraId="0747A509" w14:textId="471BDEAA" w:rsidR="00170AB2" w:rsidRPr="00B91CDC" w:rsidRDefault="00F318E5" w:rsidP="00E61C1D">
      <w:pPr>
        <w:spacing w:after="0"/>
        <w:jc w:val="both"/>
        <w:rPr>
          <w:rFonts w:ascii="Times New Roman" w:hAnsi="Times New Roman" w:cs="Times New Roman"/>
          <w:b/>
          <w:bCs/>
          <w:sz w:val="28"/>
          <w:szCs w:val="28"/>
        </w:rPr>
      </w:pPr>
      <w:proofErr w:type="spellStart"/>
      <w:r w:rsidRPr="00B91CDC">
        <w:rPr>
          <w:rFonts w:ascii="Times New Roman" w:hAnsi="Times New Roman" w:cs="Times New Roman"/>
          <w:b/>
          <w:bCs/>
          <w:sz w:val="28"/>
          <w:szCs w:val="28"/>
        </w:rPr>
        <w:t>Objectifs</w:t>
      </w:r>
      <w:proofErr w:type="spellEnd"/>
      <w:r w:rsidRPr="00B91CDC">
        <w:rPr>
          <w:rFonts w:ascii="Times New Roman" w:hAnsi="Times New Roman" w:cs="Times New Roman"/>
          <w:b/>
          <w:bCs/>
          <w:sz w:val="28"/>
          <w:szCs w:val="28"/>
        </w:rPr>
        <w:t xml:space="preserve"> du Programme</w:t>
      </w:r>
      <w:r w:rsidR="00170AB2" w:rsidRPr="00B91CDC">
        <w:rPr>
          <w:rFonts w:ascii="Times New Roman" w:hAnsi="Times New Roman" w:cs="Times New Roman"/>
          <w:b/>
          <w:bCs/>
          <w:sz w:val="28"/>
          <w:szCs w:val="28"/>
        </w:rPr>
        <w:t xml:space="preserve">: </w:t>
      </w:r>
    </w:p>
    <w:p w14:paraId="0AE9E125" w14:textId="0E375238" w:rsidR="00F318E5" w:rsidRPr="00B91CDC" w:rsidRDefault="007356C4" w:rsidP="00E61C1D">
      <w:p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20</w:t>
      </w:r>
      <w:r w:rsidR="00F318E5" w:rsidRPr="00B91CDC">
        <w:rPr>
          <w:rFonts w:ascii="Times New Roman" w:hAnsi="Times New Roman" w:cs="Times New Roman"/>
          <w:sz w:val="28"/>
          <w:szCs w:val="28"/>
          <w:lang w:val="fr-FR"/>
        </w:rPr>
        <w:t>. Le Programme doit atteindre les objectifs suivants :</w:t>
      </w:r>
    </w:p>
    <w:p w14:paraId="4DB82EB6" w14:textId="77777777" w:rsidR="00896CFE" w:rsidRPr="00B91CDC" w:rsidRDefault="00896CFE" w:rsidP="00E61C1D">
      <w:pPr>
        <w:pStyle w:val="a3"/>
        <w:numPr>
          <w:ilvl w:val="0"/>
          <w:numId w:val="16"/>
        </w:num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Promouvoir la biodiversité et la conservation des ressources génétiques en tant qu'aspects vitaux importants dans le développement des banques de gènes des Etats membres de l'OCI;</w:t>
      </w:r>
    </w:p>
    <w:p w14:paraId="2DE4CFAA" w14:textId="77777777" w:rsidR="00896CFE" w:rsidRPr="00B91CDC" w:rsidRDefault="00896CFE" w:rsidP="00E61C1D">
      <w:pPr>
        <w:pStyle w:val="a3"/>
        <w:numPr>
          <w:ilvl w:val="0"/>
          <w:numId w:val="16"/>
        </w:num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Promouvoir la valeur de la conservation, de la protection et de l'amélioration de l'utilisation des ressources naturelles, l'amélioration et la protection des moyens de subsistance et du bien-être humain, et le renforcement de la résilience du système alimentaire, entre autres;</w:t>
      </w:r>
    </w:p>
    <w:p w14:paraId="3DFF748A" w14:textId="77777777" w:rsidR="00896CFE" w:rsidRPr="00B91CDC" w:rsidRDefault="00896CFE" w:rsidP="00E61C1D">
      <w:pPr>
        <w:pStyle w:val="a3"/>
        <w:numPr>
          <w:ilvl w:val="0"/>
          <w:numId w:val="16"/>
        </w:num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Promouvoir une agriculture durable, assurer la sécurité alimentaire et la nutrition;</w:t>
      </w:r>
    </w:p>
    <w:p w14:paraId="0C26AC6D" w14:textId="77777777" w:rsidR="00896CFE" w:rsidRPr="00B91CDC" w:rsidRDefault="00896CFE" w:rsidP="00E61C1D">
      <w:pPr>
        <w:pStyle w:val="a3"/>
        <w:numPr>
          <w:ilvl w:val="0"/>
          <w:numId w:val="16"/>
        </w:num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Promouvoir l'accès des États membres de l'OCI partenaires aux variétés de banques de gènes de plantes et de bétail;</w:t>
      </w:r>
    </w:p>
    <w:p w14:paraId="42B1805A" w14:textId="77777777" w:rsidR="00896CFE" w:rsidRPr="00B91CDC" w:rsidRDefault="00896CFE" w:rsidP="00E61C1D">
      <w:pPr>
        <w:pStyle w:val="a3"/>
        <w:numPr>
          <w:ilvl w:val="0"/>
          <w:numId w:val="16"/>
        </w:num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Améliorer les cultures vivrières face à un avenir incertain, y compris la duplication des accessions, qui pourraient être conservées dans les régions froides, en se concentrant sur les espèces négligées et oubliées;</w:t>
      </w:r>
    </w:p>
    <w:p w14:paraId="2E95E3B9" w14:textId="77777777" w:rsidR="00896CFE" w:rsidRPr="00B91CDC" w:rsidRDefault="00896CFE" w:rsidP="00E61C1D">
      <w:pPr>
        <w:pStyle w:val="a3"/>
        <w:numPr>
          <w:ilvl w:val="0"/>
          <w:numId w:val="16"/>
        </w:num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Renforcer la coopération en termes de développement de banques de gènes et de recherches au niveau régional et international au sein des États membres de l'OCI,</w:t>
      </w:r>
    </w:p>
    <w:p w14:paraId="474E00AE" w14:textId="77777777" w:rsidR="00896CFE" w:rsidRPr="00B91CDC" w:rsidRDefault="00896CFE" w:rsidP="00E61C1D">
      <w:pPr>
        <w:pStyle w:val="a3"/>
        <w:numPr>
          <w:ilvl w:val="0"/>
          <w:numId w:val="16"/>
        </w:num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Améliorer la capacité de production agricole dans les États membres de l'OCI; et</w:t>
      </w:r>
    </w:p>
    <w:p w14:paraId="64B60252" w14:textId="142B3AE7" w:rsidR="0093383B" w:rsidRPr="00B91CDC" w:rsidRDefault="00896CFE" w:rsidP="00E61C1D">
      <w:pPr>
        <w:pStyle w:val="a3"/>
        <w:numPr>
          <w:ilvl w:val="0"/>
          <w:numId w:val="16"/>
        </w:num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Aider les États membres à créer des banques de gènes</w:t>
      </w:r>
      <w:r w:rsidR="008264BD" w:rsidRPr="00B91CDC">
        <w:rPr>
          <w:rFonts w:ascii="Times New Roman" w:hAnsi="Times New Roman" w:cs="Times New Roman"/>
          <w:sz w:val="28"/>
          <w:szCs w:val="28"/>
          <w:lang w:val="fr-FR"/>
        </w:rPr>
        <w:t>.</w:t>
      </w:r>
    </w:p>
    <w:p w14:paraId="4891D3D6" w14:textId="77777777" w:rsidR="00EC3E58" w:rsidRPr="00B91CDC" w:rsidRDefault="00EC3E58" w:rsidP="005E7446">
      <w:pPr>
        <w:spacing w:after="0"/>
        <w:jc w:val="both"/>
        <w:rPr>
          <w:rFonts w:ascii="Times New Roman" w:hAnsi="Times New Roman" w:cs="Times New Roman"/>
          <w:sz w:val="28"/>
          <w:szCs w:val="28"/>
          <w:lang w:val="fr-FR"/>
        </w:rPr>
      </w:pPr>
    </w:p>
    <w:p w14:paraId="1A058AE6" w14:textId="6D7C3E72" w:rsidR="00555CE9" w:rsidRPr="00B91CDC" w:rsidRDefault="00F318E5" w:rsidP="00E61C1D">
      <w:pPr>
        <w:spacing w:after="0"/>
        <w:jc w:val="both"/>
        <w:rPr>
          <w:rFonts w:ascii="Times New Roman" w:hAnsi="Times New Roman" w:cs="Times New Roman"/>
          <w:b/>
          <w:bCs/>
          <w:sz w:val="28"/>
          <w:szCs w:val="28"/>
          <w:lang w:val="fr-FR"/>
        </w:rPr>
      </w:pPr>
      <w:r w:rsidRPr="00B91CDC">
        <w:rPr>
          <w:rFonts w:ascii="Times New Roman" w:hAnsi="Times New Roman" w:cs="Times New Roman"/>
          <w:b/>
          <w:bCs/>
          <w:sz w:val="28"/>
          <w:szCs w:val="28"/>
          <w:lang w:val="fr-FR"/>
        </w:rPr>
        <w:t>Autorite de regulation</w:t>
      </w:r>
    </w:p>
    <w:p w14:paraId="414DAED6" w14:textId="4B2C2257" w:rsidR="008F62C2" w:rsidRPr="00B91CDC" w:rsidRDefault="007356C4" w:rsidP="00E61C1D">
      <w:p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21</w:t>
      </w:r>
      <w:r w:rsidR="00F318E5" w:rsidRPr="00B91CDC">
        <w:rPr>
          <w:rFonts w:ascii="Times New Roman" w:hAnsi="Times New Roman" w:cs="Times New Roman"/>
          <w:sz w:val="28"/>
          <w:szCs w:val="28"/>
          <w:lang w:val="fr-FR"/>
        </w:rPr>
        <w:t xml:space="preserve">. </w:t>
      </w:r>
      <w:r w:rsidR="00D2065D" w:rsidRPr="00B91CDC">
        <w:rPr>
          <w:rFonts w:ascii="Times New Roman" w:hAnsi="Times New Roman" w:cs="Times New Roman"/>
          <w:sz w:val="28"/>
          <w:szCs w:val="28"/>
          <w:lang w:val="fr-FR"/>
        </w:rPr>
        <w:t>L'établissement du Comité technique sur le développement des banques de gènes</w:t>
      </w:r>
      <w:r w:rsidR="00F318E5" w:rsidRPr="00B91CDC">
        <w:rPr>
          <w:rStyle w:val="af2"/>
          <w:rFonts w:ascii="Times New Roman" w:hAnsi="Times New Roman" w:cs="Times New Roman"/>
          <w:sz w:val="28"/>
          <w:szCs w:val="28"/>
          <w:lang w:val="fr-FR"/>
        </w:rPr>
        <w:footnoteReference w:id="1"/>
      </w:r>
      <w:r w:rsidR="00D2065D" w:rsidRPr="00B91CDC">
        <w:rPr>
          <w:rFonts w:ascii="Times New Roman" w:hAnsi="Times New Roman" w:cs="Times New Roman"/>
          <w:sz w:val="28"/>
          <w:szCs w:val="28"/>
          <w:lang w:val="fr-FR"/>
        </w:rPr>
        <w:t xml:space="preserve"> doit fournir des conseils, assurer la livraison des extrants du programme et l'atteinte des résultats du programme. Le Comité technique fournira un soutien, des conseils et une supervision des progrès. Les propriétaires des programmes </w:t>
      </w:r>
      <w:r w:rsidR="00D2065D" w:rsidRPr="00B91CDC">
        <w:rPr>
          <w:rFonts w:ascii="Times New Roman" w:hAnsi="Times New Roman" w:cs="Times New Roman"/>
          <w:sz w:val="28"/>
          <w:szCs w:val="28"/>
          <w:lang w:val="fr-FR"/>
        </w:rPr>
        <w:lastRenderedPageBreak/>
        <w:t>assisteraient aux réunions du Comité technique pour faire rapport sur les progrès et répondre aux questions soulevées par les membres du Comité technique.</w:t>
      </w:r>
      <w:r w:rsidR="008F62C2" w:rsidRPr="00B91CDC">
        <w:rPr>
          <w:rFonts w:ascii="Times New Roman" w:hAnsi="Times New Roman" w:cs="Times New Roman"/>
          <w:sz w:val="28"/>
          <w:szCs w:val="28"/>
          <w:lang w:val="fr-FR"/>
        </w:rPr>
        <w:t xml:space="preserve"> </w:t>
      </w:r>
    </w:p>
    <w:p w14:paraId="54053B54" w14:textId="77777777" w:rsidR="005E7446" w:rsidRPr="00B91CDC" w:rsidRDefault="005E7446" w:rsidP="00E61C1D">
      <w:pPr>
        <w:spacing w:after="0"/>
        <w:jc w:val="both"/>
        <w:rPr>
          <w:rFonts w:ascii="Times New Roman" w:hAnsi="Times New Roman" w:cs="Times New Roman"/>
          <w:sz w:val="28"/>
          <w:szCs w:val="28"/>
          <w:lang w:val="fr-FR"/>
        </w:rPr>
      </w:pPr>
    </w:p>
    <w:p w14:paraId="52DCCB99" w14:textId="65F122AE" w:rsidR="00555CE9" w:rsidRPr="00B91CDC" w:rsidRDefault="005E7446" w:rsidP="00E61C1D">
      <w:p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 xml:space="preserve">22. </w:t>
      </w:r>
      <w:r w:rsidR="00D2065D" w:rsidRPr="00B91CDC">
        <w:rPr>
          <w:rFonts w:ascii="Times New Roman" w:hAnsi="Times New Roman" w:cs="Times New Roman"/>
          <w:sz w:val="28"/>
          <w:szCs w:val="28"/>
          <w:lang w:val="fr-FR"/>
        </w:rPr>
        <w:t>Les tâches concrètes du Comité</w:t>
      </w:r>
      <w:r w:rsidR="00555CE9" w:rsidRPr="00B91CDC">
        <w:rPr>
          <w:rFonts w:ascii="Times New Roman" w:hAnsi="Times New Roman" w:cs="Times New Roman"/>
          <w:sz w:val="28"/>
          <w:szCs w:val="28"/>
          <w:lang w:val="fr-FR"/>
        </w:rPr>
        <w:t xml:space="preserve">: </w:t>
      </w:r>
    </w:p>
    <w:p w14:paraId="38C83F00" w14:textId="77777777" w:rsidR="00D2065D" w:rsidRPr="00B91CDC" w:rsidRDefault="00D2065D" w:rsidP="00E61C1D">
      <w:pPr>
        <w:pStyle w:val="a3"/>
        <w:numPr>
          <w:ilvl w:val="0"/>
          <w:numId w:val="19"/>
        </w:num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Fournir une contribution à l'élaboration du Programme;</w:t>
      </w:r>
    </w:p>
    <w:p w14:paraId="7525C71A" w14:textId="77777777" w:rsidR="00D2065D" w:rsidRPr="00B91CDC" w:rsidRDefault="00D2065D" w:rsidP="00E61C1D">
      <w:pPr>
        <w:pStyle w:val="a3"/>
        <w:numPr>
          <w:ilvl w:val="0"/>
          <w:numId w:val="19"/>
        </w:num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Intensifier la collaboration intra-OCI pour la conservation et le partage du PAGRFA;</w:t>
      </w:r>
    </w:p>
    <w:p w14:paraId="4554240F" w14:textId="77777777" w:rsidR="00D2065D" w:rsidRPr="00B91CDC" w:rsidRDefault="00D2065D" w:rsidP="00E61C1D">
      <w:pPr>
        <w:pStyle w:val="a3"/>
        <w:numPr>
          <w:ilvl w:val="0"/>
          <w:numId w:val="19"/>
        </w:num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Intensificier les efforts pour promouvoir le mécanisme de Wakf (dotation);</w:t>
      </w:r>
    </w:p>
    <w:p w14:paraId="47F837C7" w14:textId="77777777" w:rsidR="00D2065D" w:rsidRPr="00B91CDC" w:rsidRDefault="00D2065D" w:rsidP="00E61C1D">
      <w:pPr>
        <w:pStyle w:val="a3"/>
        <w:numPr>
          <w:ilvl w:val="0"/>
          <w:numId w:val="19"/>
        </w:num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Préconiser l’adhésion aux traités internationaux;</w:t>
      </w:r>
    </w:p>
    <w:p w14:paraId="1880AF74" w14:textId="77777777" w:rsidR="00D2065D" w:rsidRPr="00B91CDC" w:rsidRDefault="00D2065D" w:rsidP="00E61C1D">
      <w:pPr>
        <w:pStyle w:val="a3"/>
        <w:numPr>
          <w:ilvl w:val="0"/>
          <w:numId w:val="19"/>
        </w:num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Aider à la création de centres d'excellence intégrés;</w:t>
      </w:r>
    </w:p>
    <w:p w14:paraId="1BD7A6AC" w14:textId="77777777" w:rsidR="00D2065D" w:rsidRPr="00B91CDC" w:rsidRDefault="00D2065D" w:rsidP="00E61C1D">
      <w:pPr>
        <w:pStyle w:val="a3"/>
        <w:numPr>
          <w:ilvl w:val="0"/>
          <w:numId w:val="19"/>
        </w:num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Contribuer au développement de l'infrastructure physique pour les ressources génétiques, y compris les centres de conservation sur le terrain, la création de laboratoires et les études sur les connaissances traditionnelles et les origines des plantes et des espèces animales, la mise à niveau des collections nationales et des accessions;</w:t>
      </w:r>
    </w:p>
    <w:p w14:paraId="3B21CA6F" w14:textId="77777777" w:rsidR="00D2065D" w:rsidRPr="00B91CDC" w:rsidRDefault="00D2065D" w:rsidP="00E61C1D">
      <w:pPr>
        <w:pStyle w:val="a3"/>
        <w:numPr>
          <w:ilvl w:val="0"/>
          <w:numId w:val="19"/>
        </w:num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Identifier les priorités du programme - où le plus d'énergie devrait être dirigé;</w:t>
      </w:r>
    </w:p>
    <w:p w14:paraId="1A5FD5C6" w14:textId="77777777" w:rsidR="00D2065D" w:rsidRPr="00B91CDC" w:rsidRDefault="00D2065D" w:rsidP="00E61C1D">
      <w:pPr>
        <w:pStyle w:val="a3"/>
        <w:numPr>
          <w:ilvl w:val="0"/>
          <w:numId w:val="19"/>
        </w:numPr>
        <w:spacing w:after="0"/>
        <w:jc w:val="both"/>
        <w:rPr>
          <w:rFonts w:ascii="Times New Roman" w:hAnsi="Times New Roman" w:cs="Times New Roman"/>
          <w:sz w:val="28"/>
          <w:szCs w:val="28"/>
        </w:rPr>
      </w:pPr>
      <w:r w:rsidRPr="00B91CDC">
        <w:rPr>
          <w:rFonts w:ascii="Times New Roman" w:hAnsi="Times New Roman" w:cs="Times New Roman"/>
          <w:sz w:val="28"/>
          <w:szCs w:val="28"/>
        </w:rPr>
        <w:t xml:space="preserve">Identifier les </w:t>
      </w:r>
      <w:proofErr w:type="spellStart"/>
      <w:r w:rsidRPr="00B91CDC">
        <w:rPr>
          <w:rFonts w:ascii="Times New Roman" w:hAnsi="Times New Roman" w:cs="Times New Roman"/>
          <w:sz w:val="28"/>
          <w:szCs w:val="28"/>
        </w:rPr>
        <w:t>risques</w:t>
      </w:r>
      <w:proofErr w:type="spellEnd"/>
      <w:r w:rsidRPr="00B91CDC">
        <w:rPr>
          <w:rFonts w:ascii="Times New Roman" w:hAnsi="Times New Roman" w:cs="Times New Roman"/>
          <w:sz w:val="28"/>
          <w:szCs w:val="28"/>
        </w:rPr>
        <w:t xml:space="preserve"> </w:t>
      </w:r>
      <w:proofErr w:type="spellStart"/>
      <w:r w:rsidRPr="00B91CDC">
        <w:rPr>
          <w:rFonts w:ascii="Times New Roman" w:hAnsi="Times New Roman" w:cs="Times New Roman"/>
          <w:sz w:val="28"/>
          <w:szCs w:val="28"/>
        </w:rPr>
        <w:t>potentiels</w:t>
      </w:r>
      <w:proofErr w:type="spellEnd"/>
      <w:r w:rsidRPr="00B91CDC">
        <w:rPr>
          <w:rFonts w:ascii="Times New Roman" w:hAnsi="Times New Roman" w:cs="Times New Roman"/>
          <w:sz w:val="28"/>
          <w:szCs w:val="28"/>
        </w:rPr>
        <w:t>;</w:t>
      </w:r>
    </w:p>
    <w:p w14:paraId="6998D169" w14:textId="302FFE29" w:rsidR="00D2065D" w:rsidRPr="00B91CDC" w:rsidRDefault="00D2065D" w:rsidP="00E61C1D">
      <w:pPr>
        <w:pStyle w:val="a3"/>
        <w:numPr>
          <w:ilvl w:val="0"/>
          <w:numId w:val="19"/>
        </w:numPr>
        <w:spacing w:after="0"/>
        <w:jc w:val="both"/>
        <w:rPr>
          <w:rFonts w:ascii="Times New Roman" w:hAnsi="Times New Roman" w:cs="Times New Roman"/>
          <w:sz w:val="28"/>
          <w:szCs w:val="28"/>
        </w:rPr>
      </w:pPr>
      <w:proofErr w:type="spellStart"/>
      <w:r w:rsidRPr="00B91CDC">
        <w:rPr>
          <w:rFonts w:ascii="Times New Roman" w:hAnsi="Times New Roman" w:cs="Times New Roman"/>
          <w:sz w:val="28"/>
          <w:szCs w:val="28"/>
        </w:rPr>
        <w:t>Suivre</w:t>
      </w:r>
      <w:proofErr w:type="spellEnd"/>
      <w:r w:rsidRPr="00B91CDC">
        <w:rPr>
          <w:rFonts w:ascii="Times New Roman" w:hAnsi="Times New Roman" w:cs="Times New Roman"/>
          <w:sz w:val="28"/>
          <w:szCs w:val="28"/>
        </w:rPr>
        <w:t xml:space="preserve"> </w:t>
      </w:r>
      <w:r w:rsidR="00A74CEE" w:rsidRPr="00B91CDC">
        <w:rPr>
          <w:rFonts w:ascii="Times New Roman" w:hAnsi="Times New Roman" w:cs="Times New Roman"/>
          <w:sz w:val="28"/>
          <w:szCs w:val="28"/>
        </w:rPr>
        <w:t>l</w:t>
      </w:r>
      <w:r w:rsidRPr="00B91CDC">
        <w:rPr>
          <w:rFonts w:ascii="Times New Roman" w:hAnsi="Times New Roman" w:cs="Times New Roman"/>
          <w:sz w:val="28"/>
          <w:szCs w:val="28"/>
        </w:rPr>
        <w:t xml:space="preserve">es </w:t>
      </w:r>
      <w:proofErr w:type="spellStart"/>
      <w:r w:rsidRPr="00B91CDC">
        <w:rPr>
          <w:rFonts w:ascii="Times New Roman" w:hAnsi="Times New Roman" w:cs="Times New Roman"/>
          <w:sz w:val="28"/>
          <w:szCs w:val="28"/>
        </w:rPr>
        <w:t>délais</w:t>
      </w:r>
      <w:proofErr w:type="spellEnd"/>
      <w:r w:rsidRPr="00B91CDC">
        <w:rPr>
          <w:rFonts w:ascii="Times New Roman" w:hAnsi="Times New Roman" w:cs="Times New Roman"/>
          <w:sz w:val="28"/>
          <w:szCs w:val="28"/>
        </w:rPr>
        <w:t>;</w:t>
      </w:r>
    </w:p>
    <w:p w14:paraId="26A6AA19" w14:textId="77777777" w:rsidR="00D2065D" w:rsidRPr="00B91CDC" w:rsidRDefault="00D2065D" w:rsidP="00E61C1D">
      <w:pPr>
        <w:pStyle w:val="a3"/>
        <w:numPr>
          <w:ilvl w:val="0"/>
          <w:numId w:val="19"/>
        </w:num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Surveiller la qualité du programme au fur et à mesure de son développement;</w:t>
      </w:r>
    </w:p>
    <w:p w14:paraId="62D84BB5" w14:textId="77777777" w:rsidR="00D2065D" w:rsidRPr="00B91CDC" w:rsidRDefault="00D2065D" w:rsidP="00E61C1D">
      <w:pPr>
        <w:pStyle w:val="a3"/>
        <w:numPr>
          <w:ilvl w:val="0"/>
          <w:numId w:val="19"/>
        </w:num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Fournir des conseils (et prendre des décisions) sur les changements apportés au programme à mesure qu'il se développe; et</w:t>
      </w:r>
    </w:p>
    <w:p w14:paraId="03FF62A3" w14:textId="2030B108" w:rsidR="00A053B0" w:rsidRPr="00B91CDC" w:rsidRDefault="00D2065D" w:rsidP="00E61C1D">
      <w:pPr>
        <w:pStyle w:val="a3"/>
        <w:numPr>
          <w:ilvl w:val="0"/>
          <w:numId w:val="19"/>
        </w:num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Assurer l'établissement de relations régionales et internationales à tous les niveaux pour mener à bien les accords et conventions visant à faciliter l'échange de variétés végétales et de matériel génétique entre les pays</w:t>
      </w:r>
      <w:r w:rsidR="00A053B0" w:rsidRPr="00B91CDC">
        <w:rPr>
          <w:rFonts w:ascii="Times New Roman" w:hAnsi="Times New Roman" w:cs="Times New Roman"/>
          <w:sz w:val="28"/>
          <w:szCs w:val="28"/>
          <w:lang w:val="fr-FR"/>
        </w:rPr>
        <w:t>.</w:t>
      </w:r>
    </w:p>
    <w:p w14:paraId="0704351C" w14:textId="77777777" w:rsidR="005E7446" w:rsidRPr="00B91CDC" w:rsidRDefault="005E7446" w:rsidP="005E7446">
      <w:pPr>
        <w:pStyle w:val="a3"/>
        <w:spacing w:after="0"/>
        <w:jc w:val="both"/>
        <w:rPr>
          <w:rFonts w:ascii="Times New Roman" w:hAnsi="Times New Roman" w:cs="Times New Roman"/>
          <w:sz w:val="28"/>
          <w:szCs w:val="28"/>
          <w:lang w:val="fr-FR"/>
        </w:rPr>
      </w:pPr>
    </w:p>
    <w:p w14:paraId="61735538" w14:textId="315806A8" w:rsidR="00833215" w:rsidRPr="00B91CDC" w:rsidRDefault="007356C4" w:rsidP="00E61C1D">
      <w:pPr>
        <w:spacing w:after="0"/>
        <w:jc w:val="both"/>
        <w:rPr>
          <w:rFonts w:ascii="Times New Roman" w:hAnsi="Times New Roman" w:cs="Times New Roman"/>
          <w:sz w:val="28"/>
          <w:szCs w:val="28"/>
          <w:lang w:val="fr-FR"/>
        </w:rPr>
      </w:pPr>
      <w:bookmarkStart w:id="5" w:name="_Hlk53065116"/>
      <w:r w:rsidRPr="00B91CDC">
        <w:rPr>
          <w:rFonts w:ascii="Times New Roman" w:hAnsi="Times New Roman" w:cs="Times New Roman"/>
          <w:sz w:val="28"/>
          <w:szCs w:val="28"/>
          <w:lang w:val="fr-FR"/>
        </w:rPr>
        <w:t>2</w:t>
      </w:r>
      <w:r w:rsidR="005E7446" w:rsidRPr="00B91CDC">
        <w:rPr>
          <w:rFonts w:ascii="Times New Roman" w:hAnsi="Times New Roman" w:cs="Times New Roman"/>
          <w:sz w:val="28"/>
          <w:szCs w:val="28"/>
          <w:lang w:val="fr-FR"/>
        </w:rPr>
        <w:t>3</w:t>
      </w:r>
      <w:r w:rsidR="00F318E5" w:rsidRPr="00B91CDC">
        <w:rPr>
          <w:rFonts w:ascii="Times New Roman" w:hAnsi="Times New Roman" w:cs="Times New Roman"/>
          <w:sz w:val="28"/>
          <w:szCs w:val="28"/>
          <w:lang w:val="fr-FR"/>
        </w:rPr>
        <w:t xml:space="preserve">. </w:t>
      </w:r>
      <w:r w:rsidR="00D2065D" w:rsidRPr="00B91CDC">
        <w:rPr>
          <w:rFonts w:ascii="Times New Roman" w:hAnsi="Times New Roman" w:cs="Times New Roman"/>
          <w:sz w:val="28"/>
          <w:szCs w:val="28"/>
          <w:lang w:val="fr-FR"/>
        </w:rPr>
        <w:t>Le Comité technique comprendra des représentants de différentes organisations (parties prenantes et / ou partenaires du programme de développement des banques de gènes dans les États membres de l'OCI) avec le rôle de supervision du Secrétariat Général de l'OCI, du Comité permanent de l'OCI sur la coopération scientifique et technologique (COMSTECH) , Groupe de la Banque Islamique de Développement (BID), Centre international pour l'agriculture biosaline (ICBA), ICARDA et Organisation pour l'alimentation et l'agriculture (FAO)</w:t>
      </w:r>
      <w:r w:rsidR="008F62C2" w:rsidRPr="00B91CDC">
        <w:rPr>
          <w:rFonts w:ascii="Times New Roman" w:hAnsi="Times New Roman" w:cs="Times New Roman"/>
          <w:sz w:val="28"/>
          <w:szCs w:val="28"/>
          <w:lang w:val="fr-FR"/>
        </w:rPr>
        <w:t xml:space="preserve">. </w:t>
      </w:r>
      <w:bookmarkEnd w:id="5"/>
    </w:p>
    <w:p w14:paraId="7027A1E0" w14:textId="77777777" w:rsidR="00C245AD" w:rsidRPr="00B91CDC" w:rsidRDefault="00C245AD" w:rsidP="00E61C1D">
      <w:pPr>
        <w:spacing w:after="0"/>
        <w:jc w:val="both"/>
        <w:rPr>
          <w:rFonts w:ascii="Times New Roman" w:hAnsi="Times New Roman" w:cs="Times New Roman"/>
          <w:sz w:val="28"/>
          <w:szCs w:val="28"/>
          <w:lang w:val="fr-FR"/>
        </w:rPr>
      </w:pPr>
    </w:p>
    <w:p w14:paraId="317EA5E5" w14:textId="676B860F" w:rsidR="00A342F0" w:rsidRPr="00B91CDC" w:rsidRDefault="00F318E5" w:rsidP="00E61C1D">
      <w:pPr>
        <w:spacing w:after="0"/>
        <w:jc w:val="both"/>
        <w:rPr>
          <w:rFonts w:ascii="Times New Roman" w:hAnsi="Times New Roman" w:cs="Times New Roman"/>
          <w:b/>
          <w:bCs/>
          <w:sz w:val="28"/>
          <w:szCs w:val="28"/>
          <w:lang w:val="fr-FR"/>
        </w:rPr>
      </w:pPr>
      <w:r w:rsidRPr="00B91CDC">
        <w:rPr>
          <w:rFonts w:ascii="Times New Roman" w:hAnsi="Times New Roman" w:cs="Times New Roman"/>
          <w:b/>
          <w:bCs/>
          <w:sz w:val="28"/>
          <w:szCs w:val="28"/>
          <w:lang w:val="fr-FR"/>
        </w:rPr>
        <w:t>Mécanisme de mise en œuvre du Programme</w:t>
      </w:r>
    </w:p>
    <w:p w14:paraId="5947806E" w14:textId="524D5698" w:rsidR="00D67356" w:rsidRPr="00B91CDC" w:rsidRDefault="007356C4" w:rsidP="00E61C1D">
      <w:p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2</w:t>
      </w:r>
      <w:r w:rsidR="005E7446" w:rsidRPr="00B91CDC">
        <w:rPr>
          <w:rFonts w:ascii="Times New Roman" w:hAnsi="Times New Roman" w:cs="Times New Roman"/>
          <w:sz w:val="28"/>
          <w:szCs w:val="28"/>
          <w:lang w:val="fr-FR"/>
        </w:rPr>
        <w:t>4</w:t>
      </w:r>
      <w:r w:rsidR="00F318E5" w:rsidRPr="00B91CDC">
        <w:rPr>
          <w:rFonts w:ascii="Times New Roman" w:hAnsi="Times New Roman" w:cs="Times New Roman"/>
          <w:sz w:val="28"/>
          <w:szCs w:val="28"/>
          <w:lang w:val="fr-FR"/>
        </w:rPr>
        <w:t xml:space="preserve">. </w:t>
      </w:r>
      <w:r w:rsidR="00D67356" w:rsidRPr="00B91CDC">
        <w:rPr>
          <w:rFonts w:ascii="Times New Roman" w:hAnsi="Times New Roman" w:cs="Times New Roman"/>
          <w:sz w:val="28"/>
          <w:szCs w:val="28"/>
          <w:lang w:val="fr-FR"/>
        </w:rPr>
        <w:t>Afin de faciliter la création de l'infrastructure nécessaire pour les banques de semences et de gènes dans les États membres, il est essentiel d'utiliser le produit financier islamique traditionnel de Wakf pour financer la création d'un Semences et d’un Gène Wakf (Fonds de dotation). Ce dernier favoriserait la recherche et le développement de nouvelles variétés de semences qui seraient plus résistantes aux ravageurs et au climat et qui pourraient stimuler l'approvisionnement alimentaire dans nos États membres.</w:t>
      </w:r>
    </w:p>
    <w:p w14:paraId="50D4DF9A" w14:textId="77777777" w:rsidR="007356C4" w:rsidRPr="00B91CDC" w:rsidRDefault="007356C4" w:rsidP="00E61C1D">
      <w:pPr>
        <w:spacing w:after="0"/>
        <w:jc w:val="both"/>
        <w:rPr>
          <w:rFonts w:ascii="Times New Roman" w:hAnsi="Times New Roman" w:cs="Times New Roman"/>
          <w:sz w:val="28"/>
          <w:szCs w:val="28"/>
          <w:lang w:val="fr-FR"/>
        </w:rPr>
      </w:pPr>
    </w:p>
    <w:p w14:paraId="2FB6BB76" w14:textId="259DEBC6" w:rsidR="00966464" w:rsidRPr="00B91CDC" w:rsidRDefault="007356C4" w:rsidP="00E61C1D">
      <w:p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lastRenderedPageBreak/>
        <w:t>2</w:t>
      </w:r>
      <w:r w:rsidR="005E7446" w:rsidRPr="00B91CDC">
        <w:rPr>
          <w:rFonts w:ascii="Times New Roman" w:hAnsi="Times New Roman" w:cs="Times New Roman"/>
          <w:sz w:val="28"/>
          <w:szCs w:val="28"/>
          <w:lang w:val="fr-FR"/>
        </w:rPr>
        <w:t>5</w:t>
      </w:r>
      <w:r w:rsidR="00F318E5" w:rsidRPr="00B91CDC">
        <w:rPr>
          <w:rFonts w:ascii="Times New Roman" w:hAnsi="Times New Roman" w:cs="Times New Roman"/>
          <w:sz w:val="28"/>
          <w:szCs w:val="28"/>
          <w:lang w:val="fr-FR"/>
        </w:rPr>
        <w:t xml:space="preserve">. </w:t>
      </w:r>
      <w:r w:rsidR="00D67356" w:rsidRPr="00B91CDC">
        <w:rPr>
          <w:rFonts w:ascii="Times New Roman" w:hAnsi="Times New Roman" w:cs="Times New Roman"/>
          <w:sz w:val="28"/>
          <w:szCs w:val="28"/>
          <w:lang w:val="fr-FR"/>
        </w:rPr>
        <w:t>Il convient de souligner qu'avant l'avènement d'un État et d'un gouvernement modernes, l'institution du Wakf avait réussi à promouvoir l'éducation, la formation et la recherche dans le monde musulman. Compte tenu de l'incapacité du gouvernement à répondre à lui seul à tous les besoins de financement du développement et de la sécurité alimentaire, la finance sociale islamique traditionnelle du wakf (dotation), de la zakat et de la Sadaqat (organisme de bienfaisance) peut être utilisée de manière plus systémique pour promouvoir la biodiversité pour l'alimentation et l'agriculture dans les Etats membres de l'OCI. Le Wakf proposé sera numérique afin que les solutions financières puissent être fournies de manière efficace et efficiente aux pays et à leurs institutions</w:t>
      </w:r>
      <w:r w:rsidR="00966464" w:rsidRPr="00B91CDC">
        <w:rPr>
          <w:rFonts w:ascii="Times New Roman" w:hAnsi="Times New Roman" w:cs="Times New Roman"/>
          <w:sz w:val="28"/>
          <w:szCs w:val="28"/>
          <w:lang w:val="fr-FR"/>
        </w:rPr>
        <w:t>.</w:t>
      </w:r>
    </w:p>
    <w:p w14:paraId="04C89DBC" w14:textId="77777777" w:rsidR="007356C4" w:rsidRPr="00B91CDC" w:rsidRDefault="007356C4" w:rsidP="00E61C1D">
      <w:pPr>
        <w:spacing w:after="0"/>
        <w:jc w:val="both"/>
        <w:rPr>
          <w:rFonts w:ascii="Times New Roman" w:hAnsi="Times New Roman" w:cs="Times New Roman"/>
          <w:sz w:val="28"/>
          <w:szCs w:val="28"/>
          <w:lang w:val="fr-FR"/>
        </w:rPr>
      </w:pPr>
    </w:p>
    <w:p w14:paraId="0DEECC26" w14:textId="3AD4CDE6" w:rsidR="00CE3CCC" w:rsidRPr="00B91CDC" w:rsidRDefault="007356C4" w:rsidP="00E61C1D">
      <w:pPr>
        <w:spacing w:after="0"/>
        <w:jc w:val="both"/>
        <w:rPr>
          <w:rFonts w:ascii="Times New Roman" w:hAnsi="Times New Roman" w:cs="Times New Roman"/>
          <w:sz w:val="28"/>
          <w:szCs w:val="28"/>
          <w:lang w:val="fr-FR"/>
        </w:rPr>
      </w:pPr>
      <w:r w:rsidRPr="00B91CDC">
        <w:rPr>
          <w:rFonts w:ascii="Times New Roman" w:hAnsi="Times New Roman" w:cs="Times New Roman"/>
          <w:sz w:val="28"/>
          <w:szCs w:val="28"/>
          <w:lang w:val="fr-FR"/>
        </w:rPr>
        <w:t>2</w:t>
      </w:r>
      <w:r w:rsidR="005E7446" w:rsidRPr="00B91CDC">
        <w:rPr>
          <w:rFonts w:ascii="Times New Roman" w:hAnsi="Times New Roman" w:cs="Times New Roman"/>
          <w:sz w:val="28"/>
          <w:szCs w:val="28"/>
          <w:lang w:val="fr-FR"/>
        </w:rPr>
        <w:t>6</w:t>
      </w:r>
      <w:r w:rsidR="00F318E5" w:rsidRPr="00B91CDC">
        <w:rPr>
          <w:rFonts w:ascii="Times New Roman" w:hAnsi="Times New Roman" w:cs="Times New Roman"/>
          <w:sz w:val="28"/>
          <w:szCs w:val="28"/>
          <w:lang w:val="fr-FR"/>
        </w:rPr>
        <w:t xml:space="preserve">. </w:t>
      </w:r>
      <w:r w:rsidR="00056D15" w:rsidRPr="00B91CDC">
        <w:rPr>
          <w:rFonts w:ascii="Times New Roman" w:hAnsi="Times New Roman" w:cs="Times New Roman"/>
          <w:sz w:val="28"/>
          <w:szCs w:val="28"/>
          <w:lang w:val="fr-FR"/>
        </w:rPr>
        <w:t>Il est important de noter que cela encourage la création d'une banque de gènes et d'un centre de multiplication de l'OCI pour servir tous les États membres de l'OCI. Comme recommandé par les experts de l'atelier, la banque de gènes de l'OCI a été proposée au Kazakhstan, car le Kazakhstan est un pays avec une grande superficie (9e plus grand pays du monde) et de vastes conditions climatiques (similaires au climat de la Norvège). En plus de cela, il y a plusieurs années, le Kazakhstan a déjà lancé le projet de Banque des ressourse génétique</w:t>
      </w:r>
      <w:r w:rsidR="00B807AB" w:rsidRPr="00B91CDC">
        <w:rPr>
          <w:rFonts w:ascii="Times New Roman" w:hAnsi="Times New Roman" w:cs="Times New Roman"/>
          <w:sz w:val="28"/>
          <w:szCs w:val="28"/>
          <w:lang w:val="fr-FR"/>
        </w:rPr>
        <w:t>.</w:t>
      </w:r>
    </w:p>
    <w:p w14:paraId="7C3FE53F" w14:textId="10EBC1DB" w:rsidR="00A053B0" w:rsidRPr="00B91CDC" w:rsidRDefault="00A053B0" w:rsidP="00E61C1D">
      <w:pPr>
        <w:spacing w:after="0"/>
        <w:jc w:val="both"/>
        <w:rPr>
          <w:rFonts w:ascii="Times New Roman" w:hAnsi="Times New Roman" w:cs="Times New Roman"/>
          <w:sz w:val="28"/>
          <w:szCs w:val="28"/>
          <w:lang w:val="fr-FR"/>
        </w:rPr>
      </w:pPr>
    </w:p>
    <w:p w14:paraId="3F78A51B" w14:textId="77777777" w:rsidR="005E7446" w:rsidRPr="00B91CDC" w:rsidRDefault="005E7446" w:rsidP="00E61C1D">
      <w:pPr>
        <w:spacing w:after="0"/>
        <w:jc w:val="both"/>
        <w:rPr>
          <w:rFonts w:ascii="Times New Roman" w:hAnsi="Times New Roman" w:cs="Times New Roman"/>
          <w:sz w:val="28"/>
          <w:szCs w:val="28"/>
          <w:lang w:val="fr-FR"/>
        </w:rPr>
      </w:pPr>
    </w:p>
    <w:p w14:paraId="47AC1010" w14:textId="77777777" w:rsidR="00056D15" w:rsidRPr="00B91CDC" w:rsidRDefault="00056D15" w:rsidP="00E61C1D">
      <w:pPr>
        <w:spacing w:after="0"/>
        <w:jc w:val="both"/>
        <w:rPr>
          <w:rFonts w:ascii="Times New Roman" w:hAnsi="Times New Roman" w:cs="Times New Roman"/>
          <w:b/>
          <w:bCs/>
          <w:sz w:val="28"/>
          <w:szCs w:val="28"/>
          <w:lang w:val="fr-FR"/>
        </w:rPr>
      </w:pPr>
      <w:r w:rsidRPr="00B91CDC">
        <w:rPr>
          <w:rFonts w:ascii="Times New Roman" w:hAnsi="Times New Roman" w:cs="Times New Roman"/>
          <w:b/>
          <w:bCs/>
          <w:sz w:val="28"/>
          <w:szCs w:val="28"/>
          <w:lang w:val="fr-FR"/>
        </w:rPr>
        <w:t>Le Secretariat,</w:t>
      </w:r>
    </w:p>
    <w:p w14:paraId="2EF10085" w14:textId="3C278107" w:rsidR="00056D15" w:rsidRPr="00B91CDC" w:rsidRDefault="00695CDA" w:rsidP="00E61C1D">
      <w:pPr>
        <w:spacing w:after="0"/>
        <w:jc w:val="both"/>
        <w:rPr>
          <w:rFonts w:ascii="Times New Roman" w:hAnsi="Times New Roman" w:cs="Times New Roman"/>
          <w:b/>
          <w:bCs/>
          <w:sz w:val="28"/>
          <w:szCs w:val="28"/>
          <w:lang w:val="fr-FR"/>
        </w:rPr>
      </w:pPr>
      <w:r w:rsidRPr="00B91CDC">
        <w:rPr>
          <w:rFonts w:ascii="Times New Roman" w:hAnsi="Times New Roman" w:cs="Times New Roman"/>
          <w:b/>
          <w:bCs/>
          <w:sz w:val="28"/>
          <w:szCs w:val="28"/>
          <w:lang w:val="fr-FR"/>
        </w:rPr>
        <w:t>L</w:t>
      </w:r>
      <w:r w:rsidR="00056D15" w:rsidRPr="00B91CDC">
        <w:rPr>
          <w:rFonts w:ascii="Times New Roman" w:hAnsi="Times New Roman" w:cs="Times New Roman"/>
          <w:b/>
          <w:bCs/>
          <w:sz w:val="28"/>
          <w:szCs w:val="28"/>
          <w:lang w:val="fr-FR"/>
        </w:rPr>
        <w:t>’Organisation Islamique pour la Sécurité Alimentaire,</w:t>
      </w:r>
    </w:p>
    <w:p w14:paraId="45F16EB3" w14:textId="312515AC" w:rsidR="00824B92" w:rsidRPr="00B91CDC" w:rsidRDefault="00056D15" w:rsidP="00B91CDC">
      <w:pPr>
        <w:spacing w:after="0"/>
        <w:jc w:val="both"/>
        <w:rPr>
          <w:rFonts w:ascii="Times New Roman" w:hAnsi="Times New Roman" w:cs="Times New Roman"/>
          <w:sz w:val="28"/>
          <w:szCs w:val="28"/>
        </w:rPr>
      </w:pPr>
      <w:r w:rsidRPr="00B91CDC">
        <w:rPr>
          <w:rFonts w:ascii="Times New Roman" w:hAnsi="Times New Roman" w:cs="Times New Roman"/>
          <w:b/>
          <w:bCs/>
          <w:sz w:val="28"/>
          <w:szCs w:val="28"/>
          <w:lang w:val="fr-FR"/>
        </w:rPr>
        <w:t>Nour-Soultan, République du Kazakhstan</w:t>
      </w:r>
      <w:bookmarkEnd w:id="0"/>
      <w:r w:rsidR="00B91CDC" w:rsidRPr="00B91CDC">
        <w:rPr>
          <w:rFonts w:ascii="Times New Roman" w:hAnsi="Times New Roman" w:cs="Times New Roman"/>
          <w:b/>
          <w:bCs/>
          <w:sz w:val="28"/>
          <w:szCs w:val="28"/>
          <w:lang w:val="fr-FR"/>
        </w:rPr>
        <w:t xml:space="preserve"> </w:t>
      </w:r>
    </w:p>
    <w:sectPr w:rsidR="00824B92" w:rsidRPr="00B91CDC" w:rsidSect="00B91CDC">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30F155" w14:textId="77777777" w:rsidR="00E329E1" w:rsidRDefault="00E329E1" w:rsidP="00A342F0">
      <w:pPr>
        <w:spacing w:after="0" w:line="240" w:lineRule="auto"/>
      </w:pPr>
      <w:r>
        <w:separator/>
      </w:r>
    </w:p>
  </w:endnote>
  <w:endnote w:type="continuationSeparator" w:id="0">
    <w:p w14:paraId="2DBC366B" w14:textId="77777777" w:rsidR="00E329E1" w:rsidRDefault="00E329E1" w:rsidP="00A34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8A3B33" w14:textId="77777777" w:rsidR="00E329E1" w:rsidRDefault="00E329E1" w:rsidP="00A342F0">
      <w:pPr>
        <w:spacing w:after="0" w:line="240" w:lineRule="auto"/>
      </w:pPr>
      <w:r>
        <w:separator/>
      </w:r>
    </w:p>
  </w:footnote>
  <w:footnote w:type="continuationSeparator" w:id="0">
    <w:p w14:paraId="3D29805C" w14:textId="77777777" w:rsidR="00E329E1" w:rsidRDefault="00E329E1" w:rsidP="00A342F0">
      <w:pPr>
        <w:spacing w:after="0" w:line="240" w:lineRule="auto"/>
      </w:pPr>
      <w:r>
        <w:continuationSeparator/>
      </w:r>
    </w:p>
  </w:footnote>
  <w:footnote w:id="1">
    <w:p w14:paraId="758868C6" w14:textId="4FEA5236" w:rsidR="00F318E5" w:rsidRPr="00F318E5" w:rsidRDefault="00F318E5">
      <w:pPr>
        <w:pStyle w:val="af0"/>
        <w:rPr>
          <w:lang w:val="fr-FR"/>
        </w:rPr>
      </w:pPr>
      <w:r>
        <w:rPr>
          <w:rStyle w:val="af2"/>
        </w:rPr>
        <w:footnoteRef/>
      </w:r>
      <w:r w:rsidRPr="00F318E5">
        <w:rPr>
          <w:lang w:val="fr-FR"/>
        </w:rPr>
        <w:t xml:space="preserve"> </w:t>
      </w:r>
      <w:r w:rsidRPr="00F318E5">
        <w:rPr>
          <w:rFonts w:ascii="Times New Roman" w:hAnsi="Times New Roman" w:cs="Times New Roman"/>
          <w:lang w:val="fr-FR"/>
        </w:rPr>
        <w:t xml:space="preserve">Veuillez </w:t>
      </w:r>
      <w:r>
        <w:rPr>
          <w:rFonts w:ascii="Times New Roman" w:hAnsi="Times New Roman" w:cs="Times New Roman"/>
          <w:lang w:val="fr-FR"/>
        </w:rPr>
        <w:t>trouver</w:t>
      </w:r>
      <w:r w:rsidRPr="00F318E5">
        <w:rPr>
          <w:rFonts w:ascii="Times New Roman" w:hAnsi="Times New Roman" w:cs="Times New Roman"/>
          <w:lang w:val="fr-FR"/>
        </w:rPr>
        <w:t xml:space="preserve"> le document annexe ci-joint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320F6"/>
    <w:multiLevelType w:val="hybridMultilevel"/>
    <w:tmpl w:val="72BAC3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E46592"/>
    <w:multiLevelType w:val="hybridMultilevel"/>
    <w:tmpl w:val="A678B2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8047AE"/>
    <w:multiLevelType w:val="hybridMultilevel"/>
    <w:tmpl w:val="47588BE0"/>
    <w:lvl w:ilvl="0" w:tplc="3DCAB7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11FD3"/>
    <w:multiLevelType w:val="hybridMultilevel"/>
    <w:tmpl w:val="28B06746"/>
    <w:lvl w:ilvl="0" w:tplc="3DCAB7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947F71"/>
    <w:multiLevelType w:val="hybridMultilevel"/>
    <w:tmpl w:val="43160FBC"/>
    <w:lvl w:ilvl="0" w:tplc="63A631F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A0B5DE2"/>
    <w:multiLevelType w:val="hybridMultilevel"/>
    <w:tmpl w:val="FA927940"/>
    <w:lvl w:ilvl="0" w:tplc="A886C10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E978B7"/>
    <w:multiLevelType w:val="multilevel"/>
    <w:tmpl w:val="AAA4E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3402C6"/>
    <w:multiLevelType w:val="hybridMultilevel"/>
    <w:tmpl w:val="2A8EC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350D86"/>
    <w:multiLevelType w:val="hybridMultilevel"/>
    <w:tmpl w:val="7C2E4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F01A44"/>
    <w:multiLevelType w:val="hybridMultilevel"/>
    <w:tmpl w:val="18E0A884"/>
    <w:lvl w:ilvl="0" w:tplc="51EAE5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9196230"/>
    <w:multiLevelType w:val="hybridMultilevel"/>
    <w:tmpl w:val="2C2CE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75774E"/>
    <w:multiLevelType w:val="hybridMultilevel"/>
    <w:tmpl w:val="7D3C00AC"/>
    <w:lvl w:ilvl="0" w:tplc="4B6C063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F357EB"/>
    <w:multiLevelType w:val="hybridMultilevel"/>
    <w:tmpl w:val="7956694E"/>
    <w:lvl w:ilvl="0" w:tplc="3A00A262">
      <w:start w:val="1"/>
      <w:numFmt w:val="lowerRoman"/>
      <w:lvlText w:val="(%1)"/>
      <w:lvlJc w:val="left"/>
      <w:pPr>
        <w:ind w:left="720" w:hanging="360"/>
      </w:pPr>
      <w:rPr>
        <w:rFonts w:asciiTheme="majorBidi" w:eastAsiaTheme="minorHAnsi" w:hAnsiTheme="majorBidi" w:cstheme="maj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7B1E69"/>
    <w:multiLevelType w:val="hybridMultilevel"/>
    <w:tmpl w:val="A6848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B794F7A"/>
    <w:multiLevelType w:val="hybridMultilevel"/>
    <w:tmpl w:val="4FEC8DF4"/>
    <w:lvl w:ilvl="0" w:tplc="68785C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2E4688F"/>
    <w:multiLevelType w:val="hybridMultilevel"/>
    <w:tmpl w:val="26829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1A6EDB"/>
    <w:multiLevelType w:val="hybridMultilevel"/>
    <w:tmpl w:val="0C381F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8080024"/>
    <w:multiLevelType w:val="hybridMultilevel"/>
    <w:tmpl w:val="D7068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99C065C"/>
    <w:multiLevelType w:val="hybridMultilevel"/>
    <w:tmpl w:val="9C9C8F20"/>
    <w:lvl w:ilvl="0" w:tplc="3ECC6E62">
      <w:start w:val="1"/>
      <w:numFmt w:val="lowerRoman"/>
      <w:lvlText w:val="(%1)"/>
      <w:lvlJc w:val="left"/>
      <w:pPr>
        <w:ind w:left="720" w:hanging="360"/>
      </w:pPr>
      <w:rPr>
        <w:rFonts w:asciiTheme="majorBidi" w:eastAsiaTheme="minorHAnsi" w:hAnsiTheme="majorBidi" w:cstheme="maj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BF3860"/>
    <w:multiLevelType w:val="hybridMultilevel"/>
    <w:tmpl w:val="D1F406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6D0540"/>
    <w:multiLevelType w:val="hybridMultilevel"/>
    <w:tmpl w:val="527E1E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64F3301"/>
    <w:multiLevelType w:val="hybridMultilevel"/>
    <w:tmpl w:val="C9C2B11E"/>
    <w:lvl w:ilvl="0" w:tplc="5FC0A4D6">
      <w:start w:val="1"/>
      <w:numFmt w:val="bullet"/>
      <w:lvlText w:val="-"/>
      <w:lvlJc w:val="left"/>
      <w:pPr>
        <w:ind w:left="1440" w:hanging="360"/>
      </w:pPr>
      <w:rPr>
        <w:rFonts w:ascii="Tahoma" w:hAnsi="Tahoma"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66661327"/>
    <w:multiLevelType w:val="hybridMultilevel"/>
    <w:tmpl w:val="F2044DC8"/>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200197"/>
    <w:multiLevelType w:val="hybridMultilevel"/>
    <w:tmpl w:val="72EC341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4" w15:restartNumberingAfterBreak="0">
    <w:nsid w:val="70152B77"/>
    <w:multiLevelType w:val="hybridMultilevel"/>
    <w:tmpl w:val="2746E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73335B5"/>
    <w:multiLevelType w:val="hybridMultilevel"/>
    <w:tmpl w:val="501CC3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73F776D"/>
    <w:multiLevelType w:val="hybridMultilevel"/>
    <w:tmpl w:val="D5C6C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DA739F7"/>
    <w:multiLevelType w:val="hybridMultilevel"/>
    <w:tmpl w:val="E8D84E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12"/>
  </w:num>
  <w:num w:numId="4">
    <w:abstractNumId w:val="9"/>
  </w:num>
  <w:num w:numId="5">
    <w:abstractNumId w:val="18"/>
  </w:num>
  <w:num w:numId="6">
    <w:abstractNumId w:val="24"/>
  </w:num>
  <w:num w:numId="7">
    <w:abstractNumId w:val="0"/>
  </w:num>
  <w:num w:numId="8">
    <w:abstractNumId w:val="4"/>
  </w:num>
  <w:num w:numId="9">
    <w:abstractNumId w:val="14"/>
  </w:num>
  <w:num w:numId="10">
    <w:abstractNumId w:val="11"/>
  </w:num>
  <w:num w:numId="11">
    <w:abstractNumId w:val="1"/>
  </w:num>
  <w:num w:numId="12">
    <w:abstractNumId w:val="15"/>
  </w:num>
  <w:num w:numId="13">
    <w:abstractNumId w:val="19"/>
  </w:num>
  <w:num w:numId="14">
    <w:abstractNumId w:val="27"/>
  </w:num>
  <w:num w:numId="15">
    <w:abstractNumId w:val="13"/>
  </w:num>
  <w:num w:numId="16">
    <w:abstractNumId w:val="25"/>
  </w:num>
  <w:num w:numId="17">
    <w:abstractNumId w:val="22"/>
  </w:num>
  <w:num w:numId="18">
    <w:abstractNumId w:val="17"/>
  </w:num>
  <w:num w:numId="19">
    <w:abstractNumId w:val="26"/>
  </w:num>
  <w:num w:numId="20">
    <w:abstractNumId w:val="8"/>
  </w:num>
  <w:num w:numId="21">
    <w:abstractNumId w:val="10"/>
  </w:num>
  <w:num w:numId="22">
    <w:abstractNumId w:val="2"/>
  </w:num>
  <w:num w:numId="23">
    <w:abstractNumId w:val="16"/>
  </w:num>
  <w:num w:numId="24">
    <w:abstractNumId w:val="20"/>
  </w:num>
  <w:num w:numId="25">
    <w:abstractNumId w:val="3"/>
  </w:num>
  <w:num w:numId="26">
    <w:abstractNumId w:val="6"/>
  </w:num>
  <w:num w:numId="27">
    <w:abstractNumId w:val="21"/>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MTUwNbQ0tzQwNbdQ0lEKTi0uzszPAykwrQUAj0wgOywAAAA="/>
  </w:docVars>
  <w:rsids>
    <w:rsidRoot w:val="00824B92"/>
    <w:rsid w:val="00007277"/>
    <w:rsid w:val="00011813"/>
    <w:rsid w:val="00011E82"/>
    <w:rsid w:val="00014929"/>
    <w:rsid w:val="00024EF9"/>
    <w:rsid w:val="000502DF"/>
    <w:rsid w:val="00056D0C"/>
    <w:rsid w:val="00056D15"/>
    <w:rsid w:val="000671B6"/>
    <w:rsid w:val="000675BA"/>
    <w:rsid w:val="00073231"/>
    <w:rsid w:val="000827FE"/>
    <w:rsid w:val="000B6C79"/>
    <w:rsid w:val="000C5D82"/>
    <w:rsid w:val="00120683"/>
    <w:rsid w:val="0012494C"/>
    <w:rsid w:val="00127F1E"/>
    <w:rsid w:val="00170AB2"/>
    <w:rsid w:val="00172E71"/>
    <w:rsid w:val="00182DA2"/>
    <w:rsid w:val="00190215"/>
    <w:rsid w:val="00192E5D"/>
    <w:rsid w:val="001B1159"/>
    <w:rsid w:val="001F5D87"/>
    <w:rsid w:val="00237730"/>
    <w:rsid w:val="00242429"/>
    <w:rsid w:val="00247B16"/>
    <w:rsid w:val="00256C4C"/>
    <w:rsid w:val="00262AD8"/>
    <w:rsid w:val="00286D6A"/>
    <w:rsid w:val="002C4C5E"/>
    <w:rsid w:val="002C6213"/>
    <w:rsid w:val="002D327B"/>
    <w:rsid w:val="002E5D3F"/>
    <w:rsid w:val="003360C8"/>
    <w:rsid w:val="00340836"/>
    <w:rsid w:val="00352DB8"/>
    <w:rsid w:val="003558F3"/>
    <w:rsid w:val="003A3842"/>
    <w:rsid w:val="003B1693"/>
    <w:rsid w:val="003D033A"/>
    <w:rsid w:val="003D3B0A"/>
    <w:rsid w:val="003D6EF3"/>
    <w:rsid w:val="003E53E6"/>
    <w:rsid w:val="0040278D"/>
    <w:rsid w:val="004049C5"/>
    <w:rsid w:val="0040542C"/>
    <w:rsid w:val="004334D6"/>
    <w:rsid w:val="0043733E"/>
    <w:rsid w:val="00444188"/>
    <w:rsid w:val="00451BD4"/>
    <w:rsid w:val="0045248D"/>
    <w:rsid w:val="004678DF"/>
    <w:rsid w:val="00482FB8"/>
    <w:rsid w:val="00492A93"/>
    <w:rsid w:val="004A715C"/>
    <w:rsid w:val="004B1777"/>
    <w:rsid w:val="004D2A5A"/>
    <w:rsid w:val="00537C93"/>
    <w:rsid w:val="005462EA"/>
    <w:rsid w:val="00555CE9"/>
    <w:rsid w:val="005635BC"/>
    <w:rsid w:val="005730F6"/>
    <w:rsid w:val="00573D74"/>
    <w:rsid w:val="00584DA0"/>
    <w:rsid w:val="005B0860"/>
    <w:rsid w:val="005D269A"/>
    <w:rsid w:val="005E7446"/>
    <w:rsid w:val="00636DC0"/>
    <w:rsid w:val="00644D02"/>
    <w:rsid w:val="00644D22"/>
    <w:rsid w:val="006451E6"/>
    <w:rsid w:val="006471C4"/>
    <w:rsid w:val="006661FA"/>
    <w:rsid w:val="006666B6"/>
    <w:rsid w:val="00680DE1"/>
    <w:rsid w:val="0068183E"/>
    <w:rsid w:val="006851A3"/>
    <w:rsid w:val="00685790"/>
    <w:rsid w:val="006859AA"/>
    <w:rsid w:val="006877D1"/>
    <w:rsid w:val="00695CDA"/>
    <w:rsid w:val="006D032B"/>
    <w:rsid w:val="006D27EC"/>
    <w:rsid w:val="006E4695"/>
    <w:rsid w:val="00712652"/>
    <w:rsid w:val="00714F52"/>
    <w:rsid w:val="00717BA5"/>
    <w:rsid w:val="007356C4"/>
    <w:rsid w:val="00760E77"/>
    <w:rsid w:val="00765D5F"/>
    <w:rsid w:val="00787A6D"/>
    <w:rsid w:val="00787E54"/>
    <w:rsid w:val="00795426"/>
    <w:rsid w:val="00797D56"/>
    <w:rsid w:val="007B1932"/>
    <w:rsid w:val="007D53C4"/>
    <w:rsid w:val="007D68D6"/>
    <w:rsid w:val="007D6FBE"/>
    <w:rsid w:val="007E4E56"/>
    <w:rsid w:val="007E54B7"/>
    <w:rsid w:val="007F2C51"/>
    <w:rsid w:val="008171C3"/>
    <w:rsid w:val="00824B92"/>
    <w:rsid w:val="008264BD"/>
    <w:rsid w:val="00833215"/>
    <w:rsid w:val="00834F6F"/>
    <w:rsid w:val="00842204"/>
    <w:rsid w:val="00852A22"/>
    <w:rsid w:val="0085744C"/>
    <w:rsid w:val="00870C3C"/>
    <w:rsid w:val="00881369"/>
    <w:rsid w:val="008849A8"/>
    <w:rsid w:val="00896CFE"/>
    <w:rsid w:val="008A01BD"/>
    <w:rsid w:val="008A042B"/>
    <w:rsid w:val="008A0AC3"/>
    <w:rsid w:val="008E3801"/>
    <w:rsid w:val="008F62C2"/>
    <w:rsid w:val="00901753"/>
    <w:rsid w:val="00931CF7"/>
    <w:rsid w:val="0093383B"/>
    <w:rsid w:val="009558BB"/>
    <w:rsid w:val="00966464"/>
    <w:rsid w:val="00977AD4"/>
    <w:rsid w:val="00995868"/>
    <w:rsid w:val="009B1084"/>
    <w:rsid w:val="009C11A2"/>
    <w:rsid w:val="009C2475"/>
    <w:rsid w:val="009C7389"/>
    <w:rsid w:val="009E548F"/>
    <w:rsid w:val="009F3752"/>
    <w:rsid w:val="00A03B6F"/>
    <w:rsid w:val="00A053B0"/>
    <w:rsid w:val="00A342F0"/>
    <w:rsid w:val="00A36F6F"/>
    <w:rsid w:val="00A420C3"/>
    <w:rsid w:val="00A454BA"/>
    <w:rsid w:val="00A61A53"/>
    <w:rsid w:val="00A65AB4"/>
    <w:rsid w:val="00A70CFE"/>
    <w:rsid w:val="00A74CEE"/>
    <w:rsid w:val="00A869E8"/>
    <w:rsid w:val="00B14E70"/>
    <w:rsid w:val="00B24F02"/>
    <w:rsid w:val="00B31C57"/>
    <w:rsid w:val="00B344A3"/>
    <w:rsid w:val="00B807AB"/>
    <w:rsid w:val="00B91CDC"/>
    <w:rsid w:val="00BB2B1A"/>
    <w:rsid w:val="00BB6113"/>
    <w:rsid w:val="00BD7706"/>
    <w:rsid w:val="00BE1202"/>
    <w:rsid w:val="00C068FC"/>
    <w:rsid w:val="00C245AD"/>
    <w:rsid w:val="00C26C9B"/>
    <w:rsid w:val="00C44081"/>
    <w:rsid w:val="00C45115"/>
    <w:rsid w:val="00C50329"/>
    <w:rsid w:val="00C513FA"/>
    <w:rsid w:val="00C517BE"/>
    <w:rsid w:val="00C52122"/>
    <w:rsid w:val="00C566A8"/>
    <w:rsid w:val="00C6748D"/>
    <w:rsid w:val="00C9168F"/>
    <w:rsid w:val="00C974F7"/>
    <w:rsid w:val="00CA4367"/>
    <w:rsid w:val="00CB551C"/>
    <w:rsid w:val="00CC72F6"/>
    <w:rsid w:val="00CD78D5"/>
    <w:rsid w:val="00CE3CCC"/>
    <w:rsid w:val="00CF7346"/>
    <w:rsid w:val="00D05702"/>
    <w:rsid w:val="00D057B8"/>
    <w:rsid w:val="00D1009C"/>
    <w:rsid w:val="00D16854"/>
    <w:rsid w:val="00D2065D"/>
    <w:rsid w:val="00D30B31"/>
    <w:rsid w:val="00D540A8"/>
    <w:rsid w:val="00D550A1"/>
    <w:rsid w:val="00D67356"/>
    <w:rsid w:val="00D7223F"/>
    <w:rsid w:val="00D77CAE"/>
    <w:rsid w:val="00D965EE"/>
    <w:rsid w:val="00D97D2C"/>
    <w:rsid w:val="00DA3423"/>
    <w:rsid w:val="00DA48A6"/>
    <w:rsid w:val="00DB2619"/>
    <w:rsid w:val="00DB3A5A"/>
    <w:rsid w:val="00DC58D9"/>
    <w:rsid w:val="00DD6D14"/>
    <w:rsid w:val="00DE6C5B"/>
    <w:rsid w:val="00DF3631"/>
    <w:rsid w:val="00DF611C"/>
    <w:rsid w:val="00E329E1"/>
    <w:rsid w:val="00E5483D"/>
    <w:rsid w:val="00E61C1D"/>
    <w:rsid w:val="00E77059"/>
    <w:rsid w:val="00E80EDA"/>
    <w:rsid w:val="00E82EF9"/>
    <w:rsid w:val="00E8793B"/>
    <w:rsid w:val="00EA1C0C"/>
    <w:rsid w:val="00EA1D57"/>
    <w:rsid w:val="00EB579E"/>
    <w:rsid w:val="00EB6A48"/>
    <w:rsid w:val="00EC0B90"/>
    <w:rsid w:val="00EC3E58"/>
    <w:rsid w:val="00EC7095"/>
    <w:rsid w:val="00F0692A"/>
    <w:rsid w:val="00F318E5"/>
    <w:rsid w:val="00F72124"/>
    <w:rsid w:val="00F757EA"/>
    <w:rsid w:val="00F90AE9"/>
    <w:rsid w:val="00FA69DE"/>
    <w:rsid w:val="00FB2E3F"/>
    <w:rsid w:val="00FE3D61"/>
    <w:rsid w:val="00FF19ED"/>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193748"/>
  <w15:docId w15:val="{C379B206-E6A3-42B4-B553-95A8C7217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748D"/>
    <w:pPr>
      <w:ind w:left="720"/>
      <w:contextualSpacing/>
    </w:pPr>
  </w:style>
  <w:style w:type="paragraph" w:styleId="a4">
    <w:name w:val="header"/>
    <w:basedOn w:val="a"/>
    <w:link w:val="a5"/>
    <w:uiPriority w:val="99"/>
    <w:unhideWhenUsed/>
    <w:rsid w:val="00A342F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342F0"/>
  </w:style>
  <w:style w:type="paragraph" w:styleId="a6">
    <w:name w:val="footer"/>
    <w:basedOn w:val="a"/>
    <w:link w:val="a7"/>
    <w:uiPriority w:val="99"/>
    <w:unhideWhenUsed/>
    <w:rsid w:val="00A342F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342F0"/>
  </w:style>
  <w:style w:type="character" w:styleId="a8">
    <w:name w:val="annotation reference"/>
    <w:basedOn w:val="a0"/>
    <w:uiPriority w:val="99"/>
    <w:semiHidden/>
    <w:unhideWhenUsed/>
    <w:rsid w:val="001B1159"/>
    <w:rPr>
      <w:sz w:val="16"/>
      <w:szCs w:val="16"/>
    </w:rPr>
  </w:style>
  <w:style w:type="paragraph" w:styleId="a9">
    <w:name w:val="annotation text"/>
    <w:basedOn w:val="a"/>
    <w:link w:val="aa"/>
    <w:uiPriority w:val="99"/>
    <w:semiHidden/>
    <w:unhideWhenUsed/>
    <w:rsid w:val="001B1159"/>
    <w:pPr>
      <w:spacing w:line="240" w:lineRule="auto"/>
    </w:pPr>
    <w:rPr>
      <w:sz w:val="20"/>
      <w:szCs w:val="20"/>
    </w:rPr>
  </w:style>
  <w:style w:type="character" w:customStyle="1" w:styleId="aa">
    <w:name w:val="Текст примечания Знак"/>
    <w:basedOn w:val="a0"/>
    <w:link w:val="a9"/>
    <w:uiPriority w:val="99"/>
    <w:semiHidden/>
    <w:rsid w:val="001B1159"/>
    <w:rPr>
      <w:sz w:val="20"/>
      <w:szCs w:val="20"/>
    </w:rPr>
  </w:style>
  <w:style w:type="paragraph" w:styleId="ab">
    <w:name w:val="annotation subject"/>
    <w:basedOn w:val="a9"/>
    <w:next w:val="a9"/>
    <w:link w:val="ac"/>
    <w:uiPriority w:val="99"/>
    <w:semiHidden/>
    <w:unhideWhenUsed/>
    <w:rsid w:val="001B1159"/>
    <w:rPr>
      <w:b/>
      <w:bCs/>
    </w:rPr>
  </w:style>
  <w:style w:type="character" w:customStyle="1" w:styleId="ac">
    <w:name w:val="Тема примечания Знак"/>
    <w:basedOn w:val="aa"/>
    <w:link w:val="ab"/>
    <w:uiPriority w:val="99"/>
    <w:semiHidden/>
    <w:rsid w:val="001B1159"/>
    <w:rPr>
      <w:b/>
      <w:bCs/>
      <w:sz w:val="20"/>
      <w:szCs w:val="20"/>
    </w:rPr>
  </w:style>
  <w:style w:type="paragraph" w:styleId="ad">
    <w:name w:val="Balloon Text"/>
    <w:basedOn w:val="a"/>
    <w:link w:val="ae"/>
    <w:uiPriority w:val="99"/>
    <w:semiHidden/>
    <w:unhideWhenUsed/>
    <w:rsid w:val="001B1159"/>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1B1159"/>
    <w:rPr>
      <w:rFonts w:ascii="Segoe UI" w:hAnsi="Segoe UI" w:cs="Segoe UI"/>
      <w:sz w:val="18"/>
      <w:szCs w:val="18"/>
    </w:rPr>
  </w:style>
  <w:style w:type="paragraph" w:styleId="af">
    <w:name w:val="Normal (Web)"/>
    <w:basedOn w:val="a"/>
    <w:uiPriority w:val="99"/>
    <w:semiHidden/>
    <w:unhideWhenUsed/>
    <w:rsid w:val="000502D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0">
    <w:name w:val="footnote text"/>
    <w:basedOn w:val="a"/>
    <w:link w:val="af1"/>
    <w:uiPriority w:val="99"/>
    <w:semiHidden/>
    <w:unhideWhenUsed/>
    <w:rsid w:val="00F318E5"/>
    <w:pPr>
      <w:spacing w:after="0" w:line="240" w:lineRule="auto"/>
    </w:pPr>
    <w:rPr>
      <w:sz w:val="20"/>
      <w:szCs w:val="20"/>
    </w:rPr>
  </w:style>
  <w:style w:type="character" w:customStyle="1" w:styleId="af1">
    <w:name w:val="Текст сноски Знак"/>
    <w:basedOn w:val="a0"/>
    <w:link w:val="af0"/>
    <w:uiPriority w:val="99"/>
    <w:semiHidden/>
    <w:rsid w:val="00F318E5"/>
    <w:rPr>
      <w:sz w:val="20"/>
      <w:szCs w:val="20"/>
    </w:rPr>
  </w:style>
  <w:style w:type="character" w:styleId="af2">
    <w:name w:val="footnote reference"/>
    <w:basedOn w:val="a0"/>
    <w:uiPriority w:val="99"/>
    <w:semiHidden/>
    <w:unhideWhenUsed/>
    <w:rsid w:val="00F318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9855921">
      <w:bodyDiv w:val="1"/>
      <w:marLeft w:val="0"/>
      <w:marRight w:val="0"/>
      <w:marTop w:val="0"/>
      <w:marBottom w:val="0"/>
      <w:divBdr>
        <w:top w:val="none" w:sz="0" w:space="0" w:color="auto"/>
        <w:left w:val="none" w:sz="0" w:space="0" w:color="auto"/>
        <w:bottom w:val="none" w:sz="0" w:space="0" w:color="auto"/>
        <w:right w:val="none" w:sz="0" w:space="0" w:color="auto"/>
      </w:divBdr>
    </w:div>
    <w:div w:id="969020979">
      <w:bodyDiv w:val="1"/>
      <w:marLeft w:val="0"/>
      <w:marRight w:val="0"/>
      <w:marTop w:val="0"/>
      <w:marBottom w:val="0"/>
      <w:divBdr>
        <w:top w:val="none" w:sz="0" w:space="0" w:color="auto"/>
        <w:left w:val="none" w:sz="0" w:space="0" w:color="auto"/>
        <w:bottom w:val="none" w:sz="0" w:space="0" w:color="auto"/>
        <w:right w:val="none" w:sz="0" w:space="0" w:color="auto"/>
      </w:divBdr>
    </w:div>
    <w:div w:id="147949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86925-C747-4F4F-B18D-6BF0CB761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9</Pages>
  <Words>3496</Words>
  <Characters>19933</Characters>
  <Application>Microsoft Office Word</Application>
  <DocSecurity>0</DocSecurity>
  <Lines>166</Lines>
  <Paragraphs>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Khamit MR</dc:creator>
  <cp:keywords/>
  <dc:description/>
  <cp:lastModifiedBy>User</cp:lastModifiedBy>
  <cp:revision>19</cp:revision>
  <cp:lastPrinted>2020-02-19T08:50:00Z</cp:lastPrinted>
  <dcterms:created xsi:type="dcterms:W3CDTF">2020-10-15T08:10:00Z</dcterms:created>
  <dcterms:modified xsi:type="dcterms:W3CDTF">2020-11-06T10:51:00Z</dcterms:modified>
</cp:coreProperties>
</file>